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715FA0" w:rsidRPr="008C60F7" w:rsidTr="00BC30E2">
        <w:tc>
          <w:tcPr>
            <w:tcW w:w="4360" w:type="dxa"/>
          </w:tcPr>
          <w:p w:rsidR="00715FA0" w:rsidRPr="008C60F7" w:rsidRDefault="00715FA0" w:rsidP="00E9335E">
            <w:pPr>
              <w:tabs>
                <w:tab w:val="left" w:pos="5670"/>
              </w:tabs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C60F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ЗАТВЕРДЖЕНО</w:t>
            </w:r>
          </w:p>
          <w:p w:rsidR="006B0EA1" w:rsidRPr="008C60F7" w:rsidRDefault="00715FA0" w:rsidP="00E9335E">
            <w:pPr>
              <w:tabs>
                <w:tab w:val="left" w:pos="567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6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голови </w:t>
            </w:r>
          </w:p>
          <w:p w:rsidR="006B0EA1" w:rsidRPr="008C60F7" w:rsidRDefault="00715FA0" w:rsidP="00E9335E">
            <w:pPr>
              <w:tabs>
                <w:tab w:val="left" w:pos="567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6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державної адміністрації </w:t>
            </w:r>
          </w:p>
          <w:p w:rsidR="00715FA0" w:rsidRPr="008C60F7" w:rsidRDefault="006B0EA1" w:rsidP="00E9335E">
            <w:pPr>
              <w:tabs>
                <w:tab w:val="left" w:pos="567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6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 березня 2022 року №______</w:t>
            </w:r>
            <w:r w:rsidR="00715FA0" w:rsidRPr="008C6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___ березня 2022 року № ___  </w:t>
            </w:r>
          </w:p>
        </w:tc>
      </w:tr>
    </w:tbl>
    <w:p w:rsidR="00715FA0" w:rsidRPr="008C60F7" w:rsidRDefault="00715FA0" w:rsidP="00E9335E">
      <w:pPr>
        <w:tabs>
          <w:tab w:val="left" w:pos="5670"/>
        </w:tabs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6B0EA1" w:rsidRPr="008C60F7" w:rsidTr="00BC30E2">
        <w:tc>
          <w:tcPr>
            <w:tcW w:w="4360" w:type="dxa"/>
          </w:tcPr>
          <w:p w:rsidR="006B0EA1" w:rsidRDefault="006B0EA1" w:rsidP="00E9335E">
            <w:pPr>
              <w:tabs>
                <w:tab w:val="center" w:pos="4819"/>
                <w:tab w:val="left" w:pos="5670"/>
                <w:tab w:val="left" w:pos="6300"/>
              </w:tabs>
              <w:jc w:val="both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</w:pPr>
          </w:p>
          <w:p w:rsidR="008C60F7" w:rsidRDefault="008C60F7" w:rsidP="00E9335E">
            <w:pPr>
              <w:tabs>
                <w:tab w:val="center" w:pos="4819"/>
                <w:tab w:val="left" w:pos="5670"/>
                <w:tab w:val="left" w:pos="6300"/>
              </w:tabs>
              <w:jc w:val="both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</w:pPr>
          </w:p>
          <w:p w:rsidR="008C60F7" w:rsidRDefault="008C60F7" w:rsidP="00E9335E">
            <w:pPr>
              <w:tabs>
                <w:tab w:val="center" w:pos="4819"/>
                <w:tab w:val="left" w:pos="5670"/>
                <w:tab w:val="left" w:pos="6300"/>
              </w:tabs>
              <w:jc w:val="both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</w:pPr>
          </w:p>
          <w:p w:rsidR="008C60F7" w:rsidRDefault="008C60F7" w:rsidP="00E9335E">
            <w:pPr>
              <w:tabs>
                <w:tab w:val="center" w:pos="4819"/>
                <w:tab w:val="left" w:pos="5670"/>
                <w:tab w:val="left" w:pos="6300"/>
              </w:tabs>
              <w:jc w:val="both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</w:pPr>
          </w:p>
          <w:p w:rsidR="008C60F7" w:rsidRPr="008C60F7" w:rsidRDefault="008C60F7" w:rsidP="00E9335E">
            <w:pPr>
              <w:tabs>
                <w:tab w:val="center" w:pos="4819"/>
                <w:tab w:val="left" w:pos="5670"/>
                <w:tab w:val="left" w:pos="6300"/>
              </w:tabs>
              <w:jc w:val="both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6B0EA1" w:rsidRPr="008C60F7" w:rsidRDefault="006B0EA1" w:rsidP="00E9335E">
      <w:pPr>
        <w:tabs>
          <w:tab w:val="left" w:pos="5670"/>
        </w:tabs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715FA0" w:rsidRPr="008C60F7" w:rsidRDefault="00C258E2" w:rsidP="00E9335E">
      <w:pPr>
        <w:tabs>
          <w:tab w:val="left" w:pos="5670"/>
          <w:tab w:val="left" w:pos="5745"/>
        </w:tabs>
        <w:spacing w:after="0" w:line="240" w:lineRule="auto"/>
        <w:outlineLvl w:val="0"/>
        <w:rPr>
          <w:rFonts w:ascii="Times New Roman" w:hAnsi="Times New Roman"/>
          <w:bCs/>
          <w:color w:val="000000"/>
          <w:sz w:val="26"/>
          <w:szCs w:val="28"/>
          <w:lang w:val="uk-UA"/>
        </w:rPr>
      </w:pPr>
      <w:r w:rsidRPr="008C60F7">
        <w:rPr>
          <w:bCs/>
          <w:color w:val="000000"/>
          <w:szCs w:val="28"/>
          <w:lang w:val="uk-UA"/>
        </w:rPr>
        <w:tab/>
      </w:r>
    </w:p>
    <w:p w:rsidR="00C258E2" w:rsidRPr="008C60F7" w:rsidRDefault="00C258E2" w:rsidP="00E9335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ПОРЯДОК</w:t>
      </w:r>
    </w:p>
    <w:p w:rsidR="00C258E2" w:rsidRPr="008C60F7" w:rsidRDefault="00C258E2" w:rsidP="00E9335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проведення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конкурсів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на укладення угод серед претендентів </w:t>
      </w:r>
    </w:p>
    <w:p w:rsidR="00C258E2" w:rsidRPr="008C60F7" w:rsidRDefault="00C258E2" w:rsidP="00E9335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на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першочергове зарахування до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закладів вищої </w:t>
      </w:r>
      <w:r w:rsidR="00D61522"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(фахової </w:t>
      </w:r>
      <w:proofErr w:type="spellStart"/>
      <w:r w:rsidR="00D61522"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передвищої</w:t>
      </w:r>
      <w:proofErr w:type="spellEnd"/>
      <w:r w:rsidR="00D61522"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медичної</w:t>
      </w:r>
      <w:r w:rsidR="00D61522"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, мистецької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педагогічної освіти за державним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(регіональним) замовленням </w:t>
      </w:r>
    </w:p>
    <w:p w:rsidR="00C258E2" w:rsidRPr="008C60F7" w:rsidRDefault="00C258E2" w:rsidP="00E9335E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1.  Цей Порядок визначає механізм організації і проведення конку</w:t>
      </w:r>
      <w:r w:rsidR="001702EE"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рсу для відбору претендентів на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укладення угод згідно з Порядком р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еалізації права на першочергове зарахування до закладів вищої</w:t>
      </w:r>
      <w:r w:rsidR="001702EE"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 (фахової </w:t>
      </w:r>
      <w:proofErr w:type="spellStart"/>
      <w:r w:rsidR="001702EE"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передвищої</w:t>
      </w:r>
      <w:proofErr w:type="spellEnd"/>
      <w:r w:rsidR="001702EE"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) медичної, мистецької та 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педагогічної освіти за державним (регіональним) замовленням осіб, які уклали угоду про відпрацювання не менше трьох років у сільській місцевості або селищі міського типу, затвердженим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постановою Кабінету Міністрів України від 30 травня 2018 року № 417 «Деякі питання реалізації права осіб на першочергове зарахування до закладів вищої медичної і педагогічної освіти за державним (регіональним) замовленням»</w:t>
      </w:r>
      <w:r w:rsidR="001702EE"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="001702EE" w:rsidRPr="008C60F7">
        <w:rPr>
          <w:rFonts w:ascii="Times New Roman" w:hAnsi="Times New Roman" w:cs="Times New Roman"/>
          <w:sz w:val="28"/>
          <w:szCs w:val="28"/>
          <w:lang w:val="uk-UA"/>
        </w:rPr>
        <w:t xml:space="preserve">із змінами, внесеними згідно з постановою Кабінету Міністрів України від 03 червня  2020 року № 454 «Порядок реалізації права на першочергове зарахування до закладів вищої (фахової </w:t>
      </w:r>
      <w:proofErr w:type="spellStart"/>
      <w:r w:rsidR="001702EE" w:rsidRPr="008C60F7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1702EE" w:rsidRPr="008C60F7">
        <w:rPr>
          <w:rFonts w:ascii="Times New Roman" w:hAnsi="Times New Roman" w:cs="Times New Roman"/>
          <w:sz w:val="28"/>
          <w:szCs w:val="28"/>
          <w:lang w:val="uk-UA"/>
        </w:rPr>
        <w:t>) медичної, мистецької та педагогічної освіти за державним (регіональним) замовленням осіб, які уклали угоду про відпрацювання не менше трьох років у сільській місцевості або селищі міського типу»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.</w:t>
      </w: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2. Конкурси 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на укладення угод серед претендентів на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першочергове зарахування до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закладів вищої </w:t>
      </w:r>
      <w:r w:rsidR="001702EE"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(фахової </w:t>
      </w:r>
      <w:proofErr w:type="spellStart"/>
      <w:r w:rsidR="001702EE"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передвищої</w:t>
      </w:r>
      <w:proofErr w:type="spellEnd"/>
      <w:r w:rsidR="001702EE"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медичної</w:t>
      </w:r>
      <w:r w:rsidR="001702EE"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, мистецької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 та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педагогічної освіти за державним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(регіональним) замовленням про відпрацювання не менше трьох років у сільській місцевості або селищах міського типу 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(далі – Конкурс) проводяться щороку структурними підрозділами обласної державної адміністрації, до повноважень яких належать питання охорони здоров’я</w:t>
      </w:r>
      <w:r w:rsidR="001702EE"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 культури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та освіти (далі – організатори конкурсу):</w:t>
      </w: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управління охорони здоров'я обласної державної адміністрації,</w:t>
      </w:r>
    </w:p>
    <w:p w:rsidR="00D91FC2" w:rsidRPr="008C60F7" w:rsidRDefault="00D91FC2" w:rsidP="00E9335E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управління культури, з питань релігій та національностей обласної    державної адміністрації,</w:t>
      </w:r>
    </w:p>
    <w:p w:rsidR="00C258E2" w:rsidRPr="008C60F7" w:rsidRDefault="00D91FC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управління освіти і науки</w:t>
      </w:r>
      <w:r w:rsidR="00C258E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 обласної державної адміністрації. </w:t>
      </w: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3. Організатори конкурсу аналізують і узагальнюють інформацію (форма додається), надану сільськими та селищними радами про прогнозовану потребу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у фахівцях з вищою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(фаховою </w:t>
      </w:r>
      <w:proofErr w:type="spellStart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освітою медичних (фармацевтичних)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, мистецьких та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педагогічних спеціальностей та рішення їх виконавчих органів щодо взяття на себе зобов'язань стосовно забезпечення фахівців з вищою 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освітою на строк не </w:t>
      </w:r>
      <w:proofErr w:type="spellStart"/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менще</w:t>
      </w:r>
      <w:proofErr w:type="spellEnd"/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трьох років безоплатним користуванням житлом з опаленням і освітленням у межах установлених норм, та розміщують її на офіційних веб-сайтах.</w:t>
      </w: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4. У разі наявності визначеної прогнозованої потреби у фахівцях з вищою 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="00CB507C" w:rsidRPr="008C60F7">
        <w:rPr>
          <w:rFonts w:ascii="Times New Roman" w:hAnsi="Times New Roman"/>
          <w:color w:val="000000"/>
          <w:sz w:val="28"/>
          <w:szCs w:val="28"/>
          <w:lang w:val="uk-UA"/>
        </w:rPr>
        <w:t>освітою медичних (фармацевти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чних)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, мистецьких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чи педагогічних спеціальностей у сільській місцевості або селищі міського типу щороку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до 01 березня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організаторами оголошуються конкурси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на укладення угод серед претендентів на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першочергове зарахування до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закладів вищої 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медичної</w:t>
      </w:r>
      <w:r w:rsidR="00D91FC2"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, мистецької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педагогічної освіти за державним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(регіональним) замовленням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, затверджуються і оприлюднюються умови їх проведення. Інформація розміщується на офіційних веб-сайтах організаторів конкурсів.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5. Для проведення Конкурсу створюється комісія, склад якої затверджується наказами керівників структурних підрозділів обласної державної адміністрації з питань охорони здоров’я</w:t>
      </w:r>
      <w:r w:rsidR="00D91FC2"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 культури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та освіти. Головою конкурсної комісії є заступник начальника відповідного структурного підрозділу. Зміни до складу конкурсної комісії вносяться відповідним наказом керівника структурного підрозділу. </w:t>
      </w:r>
    </w:p>
    <w:p w:rsidR="00C258E2" w:rsidRPr="008C60F7" w:rsidRDefault="00C258E2" w:rsidP="00E9335E">
      <w:pPr>
        <w:pStyle w:val="a3"/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0F7">
        <w:rPr>
          <w:rFonts w:ascii="Times New Roman" w:hAnsi="Times New Roman" w:cs="Times New Roman"/>
          <w:color w:val="000000"/>
          <w:sz w:val="28"/>
          <w:szCs w:val="28"/>
        </w:rPr>
        <w:t>Засідання конкурсної комісії проводить голова комісії; засідання конкурсної комісії є правомочним за умови присутності на засіданні двох третин від її загального складу. Рішення конкурсної комісії приймається більшістю голосів членів  конкурсної комісії, присутніх на засіданні.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6. Участь у Конкурсі можуть брати громадяни України, які раніше не навчалися у закладах вищої 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освіти за державним (регіональним) замовленням, бажають здобути кваліфікацію медичного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, мистецького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чи педагогічного працівника у закладах вищої 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(фахової </w:t>
      </w:r>
      <w:proofErr w:type="spellStart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передвищої</w:t>
      </w:r>
      <w:proofErr w:type="spellEnd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медичної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, мистецької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чи педагогічної освіти і відпрацювати не менше трьох років у сільській місцевості або селищі міського типу.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>7. Конкурс проводиться з урахуванням таких позицій: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>1) на місця, де передбачений строк підготовки фахівців відповідає строку, визначеному у прогнозованій потребі, Конкурс проводить</w:t>
      </w:r>
      <w:r w:rsidR="00CB507C" w:rsidRPr="008C60F7">
        <w:rPr>
          <w:rFonts w:ascii="Times New Roman" w:hAnsi="Times New Roman"/>
          <w:color w:val="000000"/>
          <w:sz w:val="28"/>
          <w:szCs w:val="28"/>
          <w:lang w:val="uk-UA"/>
        </w:rPr>
        <w:t>ся серед осіб з базовою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середньою</w:t>
      </w:r>
      <w:r w:rsidR="00CB507C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або повною загальною середньою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освітою або випускників закладів загальної середньої освіти поточного року, а переможцям Конкурсу надається право першочергового зарахування на місця державного (регіонального) замовлення.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На місця, де передбачений строк підготовки фахівців за медичними</w:t>
      </w:r>
      <w:r w:rsidR="00CB507C"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(фармацевтичними) </w:t>
      </w:r>
      <w:r w:rsidR="00D91FC2"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 мистецькими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чи педагогічними спеціальностями відповідає строку, визначеному у середньостроковій потребі, Конкурс проводиться серед осіб, </w:t>
      </w:r>
      <w:r w:rsidR="00DA1B1F" w:rsidRPr="008C60F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які здобули освітньо-професійний ступінь фахового молодшого бакалавра або освітній ступінь молодшого бакалавра (освітньо-кваліфікаційний рівень </w:t>
      </w:r>
      <w:r w:rsidR="00DA1B1F" w:rsidRPr="008C60F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lastRenderedPageBreak/>
        <w:t xml:space="preserve">молодшого спеціаліста) і планують </w:t>
      </w: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продовження навчання за умови можливості його закінчення у передбачений строк;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>2) перевага під час проведен</w:t>
      </w:r>
      <w:r w:rsidR="00DA1B1F" w:rsidRPr="008C60F7">
        <w:rPr>
          <w:rFonts w:ascii="Times New Roman" w:hAnsi="Times New Roman"/>
          <w:color w:val="000000"/>
          <w:sz w:val="28"/>
          <w:szCs w:val="28"/>
          <w:lang w:val="uk-UA"/>
        </w:rPr>
        <w:t>ня Конкурсу надається особам, які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претендують на вступ до закладів вищої 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медичної</w:t>
      </w:r>
      <w:r w:rsidR="00D91FC2" w:rsidRPr="008C60F7">
        <w:rPr>
          <w:rFonts w:ascii="Times New Roman" w:hAnsi="Times New Roman"/>
          <w:color w:val="000000"/>
          <w:sz w:val="28"/>
          <w:szCs w:val="28"/>
          <w:lang w:val="uk-UA"/>
        </w:rPr>
        <w:t>, мистецької</w:t>
      </w:r>
      <w:r w:rsidR="0089684C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або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педагогічної освіти, які на законних підставах пр</w:t>
      </w:r>
      <w:r w:rsidR="00DA1B1F" w:rsidRPr="008C60F7">
        <w:rPr>
          <w:rFonts w:ascii="Times New Roman" w:hAnsi="Times New Roman"/>
          <w:color w:val="000000"/>
          <w:sz w:val="28"/>
          <w:szCs w:val="28"/>
          <w:lang w:val="uk-UA"/>
        </w:rPr>
        <w:t>оживають у населеному пункті, в якому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розташований роботодавець, або в іншому найближчому населеному пункті (у сільській місцевості чи селищі міського типу); 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>3) мінімальний прохідний бал, у випадку наявності лише одного учасника Конкурсу – 8 балів.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8. Претенденти на участь у Конкурсі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до 10 квітня</w:t>
      </w:r>
      <w:r w:rsidRPr="008C60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подають до організаторів Конкурсу пакет документів, а саме:</w:t>
      </w: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заяву на участь у Конкурсі із зазначенням основних мотивів;</w:t>
      </w: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випускники закладів загальної середньої освіти поточного року пред’являють оригінал документа, що посвідчує особу; подають завірені копії зазначеного документа і табеля успішності за перше півріччя випускного класу;</w:t>
      </w: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випускники закладів загальної середньої освіти попередніх років пред’являють оригінали та подають завірені копії документа, що посвідчує особу; документа державного зразка про раніше здобутий освітній рівень і додатка до нього;</w:t>
      </w:r>
    </w:p>
    <w:p w:rsidR="00686F37" w:rsidRPr="008C60F7" w:rsidRDefault="00686F37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випускники закладів фахової </w:t>
      </w:r>
      <w:proofErr w:type="spellStart"/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передвищої</w:t>
      </w:r>
      <w:proofErr w:type="spellEnd"/>
      <w:r w:rsidRPr="008C60F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освіти пред’являють оригінали та подають копії документа, що посвідчує особу, документа державного зразка про раніше здобутий освітньо-кваліфікаційний рівень (диплом) і додатка до нього.</w:t>
      </w:r>
    </w:p>
    <w:p w:rsidR="00C258E2" w:rsidRPr="008C60F7" w:rsidRDefault="00C258E2" w:rsidP="00E933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9. Результати Конкурсу оголошуються організаторами не пізніше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30 квітня,</w:t>
      </w:r>
      <w:r w:rsidRPr="008C60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оприлюднюються на офіційних сайтах та повідомляються переможцям Конкурсу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Pr="008C60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Повідомлення може здійснюватися одним із доступних способів, обраним претендентом, зокрема: у письмовій формі, засобами електронного чи телефонного зв’язку.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10. </w:t>
      </w:r>
      <w:r w:rsidRPr="008C60F7">
        <w:rPr>
          <w:rFonts w:ascii="Times New Roman" w:hAnsi="Times New Roman"/>
          <w:bCs/>
          <w:color w:val="000000"/>
          <w:sz w:val="28"/>
          <w:szCs w:val="28"/>
          <w:lang w:val="uk-UA"/>
        </w:rPr>
        <w:t>До 30 травня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переможці </w:t>
      </w:r>
      <w:r w:rsidR="0089684C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конкурсу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підписують з організаторами Конкурсу Угоду за формою, затвердженою постановою Кабінету Міністрів України від 30 травня 2018 року № 417.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>Переможець Конкурсу зобов’язується здобути вищу освіту за відповідною спеціальністю (предметною спеціальністю, спеціалізацією) та ступенем вищої освіти (освітньо-кваліфікаційним рівнем), після закінчення навчання укласти з роботодавцем трудовий договір та відпрацювати у нього не менше трьох років.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Якщо переможець Конкурсу є неповнолітньою особою, зазначена Угода укладається з його батьками або законними представниками. Після досягнення переможцем повноліття Угода повинна бути з ним переукладена. У разі, коли протягом п’яти місяців з дня досягнення повноліття Угоду з переможцем не </w:t>
      </w:r>
      <w:proofErr w:type="spellStart"/>
      <w:r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переукладено</w:t>
      </w:r>
      <w:proofErr w:type="spellEnd"/>
      <w:r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, вона вважається такою, що втратила силу, а переможець втрачає право на навчання на місці державного або регіонального замовлення незалежно від </w:t>
      </w:r>
      <w:r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lastRenderedPageBreak/>
        <w:t xml:space="preserve">його конкурсного балу під час вступу до закладу вищої </w:t>
      </w:r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(фахової </w:t>
      </w:r>
      <w:proofErr w:type="spellStart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передвищої</w:t>
      </w:r>
      <w:proofErr w:type="spellEnd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медичної</w:t>
      </w:r>
      <w:r w:rsidR="003907A0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, мистецької</w:t>
      </w:r>
      <w:r w:rsidR="00DA1B1F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або</w:t>
      </w:r>
      <w:r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педагогічної освіти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258E2" w:rsidRPr="008C60F7" w:rsidRDefault="00C258E2" w:rsidP="00E933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11. Угода набирає чинності з дня її підписання, а переможець отримує право на першочергове зарахування до закладу вищої </w:t>
      </w:r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(фахової </w:t>
      </w:r>
      <w:proofErr w:type="spellStart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передвищої</w:t>
      </w:r>
      <w:proofErr w:type="spellEnd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медичної</w:t>
      </w:r>
      <w:r w:rsidR="003907A0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3907A0" w:rsidRPr="008C60F7">
        <w:rPr>
          <w:rFonts w:ascii="Times New Roman" w:hAnsi="Times New Roman"/>
          <w:color w:val="000000"/>
          <w:sz w:val="28"/>
          <w:szCs w:val="28"/>
          <w:lang w:val="uk-UA"/>
        </w:rPr>
        <w:t>митстецької</w:t>
      </w:r>
      <w:proofErr w:type="spellEnd"/>
      <w:r w:rsidR="0089684C"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9684C" w:rsidRPr="008C60F7">
        <w:rPr>
          <w:rFonts w:ascii="Times New Roman" w:hAnsi="Times New Roman"/>
          <w:color w:val="000000"/>
          <w:sz w:val="28"/>
          <w:szCs w:val="28"/>
          <w:lang w:val="uk-UA"/>
        </w:rPr>
        <w:t>обо</w:t>
      </w:r>
      <w:proofErr w:type="spellEnd"/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 педагогічної освіти на навчання за державним (регіональним)</w:t>
      </w:r>
      <w:r w:rsidRPr="008C60F7">
        <w:rPr>
          <w:rFonts w:ascii="Times New Roman" w:hAnsi="Times New Roman"/>
          <w:b/>
          <w:color w:val="000000"/>
          <w:lang w:val="uk-UA"/>
        </w:rPr>
        <w:t xml:space="preserve">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 xml:space="preserve">замовленням згідно з умовами прийому на навчання до закладів вищої </w:t>
      </w:r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(фахової </w:t>
      </w:r>
      <w:proofErr w:type="spellStart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передвищої</w:t>
      </w:r>
      <w:proofErr w:type="spellEnd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) </w:t>
      </w:r>
      <w:r w:rsidRPr="008C60F7">
        <w:rPr>
          <w:rFonts w:ascii="Times New Roman" w:hAnsi="Times New Roman"/>
          <w:color w:val="000000"/>
          <w:sz w:val="28"/>
          <w:szCs w:val="28"/>
          <w:lang w:val="uk-UA"/>
        </w:rPr>
        <w:t>освіти, що затверджуються Міністерством освіти і науки України.</w:t>
      </w:r>
    </w:p>
    <w:p w:rsidR="00C258E2" w:rsidRPr="008C60F7" w:rsidRDefault="00C258E2" w:rsidP="00E9335E">
      <w:pPr>
        <w:pStyle w:val="a3"/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0F7">
        <w:rPr>
          <w:rFonts w:ascii="Times New Roman" w:hAnsi="Times New Roman" w:cs="Times New Roman"/>
          <w:color w:val="000000"/>
          <w:sz w:val="28"/>
          <w:szCs w:val="28"/>
        </w:rPr>
        <w:t xml:space="preserve">Угода втрачає силу в разі, коли відповідно до умов прийому на навчання до закладів вищої </w:t>
      </w:r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</w:rPr>
        <w:t xml:space="preserve">(фахової </w:t>
      </w:r>
      <w:proofErr w:type="spellStart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</w:rPr>
        <w:t>передвищої</w:t>
      </w:r>
      <w:proofErr w:type="spellEnd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</w:rPr>
        <w:t xml:space="preserve">) </w:t>
      </w:r>
      <w:r w:rsidRPr="008C60F7">
        <w:rPr>
          <w:rFonts w:ascii="Times New Roman" w:hAnsi="Times New Roman" w:cs="Times New Roman"/>
          <w:color w:val="000000"/>
          <w:sz w:val="28"/>
          <w:szCs w:val="28"/>
        </w:rPr>
        <w:t xml:space="preserve">освіти переможця не зараховано до закладу вищої </w:t>
      </w:r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</w:rPr>
        <w:t xml:space="preserve">(фахової </w:t>
      </w:r>
      <w:proofErr w:type="spellStart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</w:rPr>
        <w:t>передвищої</w:t>
      </w:r>
      <w:proofErr w:type="spellEnd"/>
      <w:r w:rsidR="0089684C" w:rsidRPr="008C60F7">
        <w:rPr>
          <w:rFonts w:ascii="Times New Roman" w:hAnsi="Times New Roman"/>
          <w:color w:val="000000"/>
          <w:spacing w:val="-6"/>
          <w:sz w:val="28"/>
          <w:szCs w:val="28"/>
        </w:rPr>
        <w:t xml:space="preserve">) </w:t>
      </w:r>
      <w:r w:rsidRPr="008C60F7">
        <w:rPr>
          <w:rFonts w:ascii="Times New Roman" w:hAnsi="Times New Roman" w:cs="Times New Roman"/>
          <w:color w:val="000000"/>
          <w:sz w:val="28"/>
          <w:szCs w:val="28"/>
        </w:rPr>
        <w:t>медичної</w:t>
      </w:r>
      <w:r w:rsidR="003907A0" w:rsidRPr="008C60F7">
        <w:rPr>
          <w:rFonts w:ascii="Times New Roman" w:hAnsi="Times New Roman" w:cs="Times New Roman"/>
          <w:color w:val="000000"/>
          <w:sz w:val="28"/>
          <w:szCs w:val="28"/>
        </w:rPr>
        <w:t>, мистецької</w:t>
      </w:r>
      <w:r w:rsidRPr="008C60F7">
        <w:rPr>
          <w:rFonts w:ascii="Times New Roman" w:hAnsi="Times New Roman" w:cs="Times New Roman"/>
          <w:color w:val="000000"/>
          <w:sz w:val="28"/>
          <w:szCs w:val="28"/>
        </w:rPr>
        <w:t xml:space="preserve"> чи педагогічної освіти на місце державного або регіонального замовлення у рік укладення Угоди.</w:t>
      </w:r>
    </w:p>
    <w:p w:rsidR="00E9335E" w:rsidRPr="008C60F7" w:rsidRDefault="00E9335E" w:rsidP="00E9335E">
      <w:pPr>
        <w:pStyle w:val="a3"/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335E" w:rsidRPr="008C60F7" w:rsidRDefault="00E9335E" w:rsidP="00E9335E">
      <w:pPr>
        <w:pStyle w:val="a3"/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8E2" w:rsidRPr="008C60F7" w:rsidRDefault="00C258E2" w:rsidP="00E9335E">
      <w:pPr>
        <w:pStyle w:val="a3"/>
        <w:spacing w:before="0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C258E2" w:rsidRPr="008C60F7" w:rsidRDefault="00C258E2" w:rsidP="00E9335E">
      <w:pPr>
        <w:pStyle w:val="a3"/>
        <w:spacing w:before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0F7">
        <w:rPr>
          <w:rFonts w:ascii="Times New Roman" w:hAnsi="Times New Roman" w:cs="Times New Roman"/>
          <w:color w:val="000000"/>
          <w:sz w:val="28"/>
          <w:szCs w:val="28"/>
        </w:rPr>
        <w:t>Керівник апарату</w:t>
      </w:r>
      <w:r w:rsidR="00E9335E" w:rsidRPr="008C6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35E" w:rsidRPr="008C60F7">
        <w:rPr>
          <w:rFonts w:ascii="Times New Roman" w:hAnsi="Times New Roman" w:cs="Times New Roman"/>
          <w:color w:val="000000"/>
          <w:sz w:val="28"/>
          <w:szCs w:val="28"/>
        </w:rPr>
        <w:t>обласної</w:t>
      </w:r>
    </w:p>
    <w:p w:rsidR="00C258E2" w:rsidRDefault="00C258E2" w:rsidP="00E9335E">
      <w:pPr>
        <w:pStyle w:val="a3"/>
        <w:tabs>
          <w:tab w:val="left" w:pos="7530"/>
        </w:tabs>
        <w:spacing w:before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0F7">
        <w:rPr>
          <w:rFonts w:ascii="Times New Roman" w:hAnsi="Times New Roman" w:cs="Times New Roman"/>
          <w:color w:val="000000"/>
          <w:sz w:val="28"/>
          <w:szCs w:val="28"/>
        </w:rPr>
        <w:t>держаної ад</w:t>
      </w:r>
      <w:r w:rsidR="001702EE" w:rsidRPr="008C60F7">
        <w:rPr>
          <w:rFonts w:ascii="Times New Roman" w:hAnsi="Times New Roman" w:cs="Times New Roman"/>
          <w:color w:val="000000"/>
          <w:sz w:val="28"/>
          <w:szCs w:val="28"/>
        </w:rPr>
        <w:t>міністрації</w:t>
      </w:r>
      <w:r w:rsidR="001702E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Ю</w:t>
      </w:r>
      <w:r w:rsidR="00E9335E">
        <w:rPr>
          <w:rFonts w:ascii="Times New Roman" w:hAnsi="Times New Roman" w:cs="Times New Roman"/>
          <w:color w:val="000000"/>
          <w:sz w:val="28"/>
          <w:szCs w:val="28"/>
        </w:rPr>
        <w:t xml:space="preserve">рій </w:t>
      </w:r>
      <w:proofErr w:type="spellStart"/>
      <w:r w:rsidR="001702EE">
        <w:rPr>
          <w:rFonts w:ascii="Times New Roman" w:hAnsi="Times New Roman" w:cs="Times New Roman"/>
          <w:color w:val="000000"/>
          <w:sz w:val="28"/>
          <w:szCs w:val="28"/>
        </w:rPr>
        <w:t>Судаков</w:t>
      </w:r>
      <w:proofErr w:type="spellEnd"/>
    </w:p>
    <w:sectPr w:rsidR="00C258E2" w:rsidSect="00686F37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8E2"/>
    <w:rsid w:val="0004292F"/>
    <w:rsid w:val="001702EE"/>
    <w:rsid w:val="003907A0"/>
    <w:rsid w:val="00470E96"/>
    <w:rsid w:val="00633C78"/>
    <w:rsid w:val="00681006"/>
    <w:rsid w:val="00686F37"/>
    <w:rsid w:val="006B0EA1"/>
    <w:rsid w:val="00715FA0"/>
    <w:rsid w:val="00724926"/>
    <w:rsid w:val="007D6EEF"/>
    <w:rsid w:val="0089684C"/>
    <w:rsid w:val="008C60F7"/>
    <w:rsid w:val="00BC30E2"/>
    <w:rsid w:val="00C258E2"/>
    <w:rsid w:val="00C6746A"/>
    <w:rsid w:val="00CB507C"/>
    <w:rsid w:val="00D61522"/>
    <w:rsid w:val="00D91FC2"/>
    <w:rsid w:val="00DA1B1F"/>
    <w:rsid w:val="00E9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7721"/>
  <w15:docId w15:val="{9BADFB19-0218-46ED-B879-B88C40D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258E2"/>
    <w:pPr>
      <w:suppressAutoHyphens/>
      <w:spacing w:before="120" w:after="0" w:line="240" w:lineRule="auto"/>
      <w:ind w:firstLine="567"/>
    </w:pPr>
    <w:rPr>
      <w:rFonts w:ascii="Liberation Serif" w:eastAsia="WenQuanYi Micro Hei" w:hAnsi="Liberation Serif" w:cs="Lohit Devanagari"/>
      <w:kern w:val="2"/>
      <w:sz w:val="24"/>
      <w:szCs w:val="24"/>
      <w:lang w:val="uk-UA" w:eastAsia="zh-CN" w:bidi="hi-IN"/>
    </w:rPr>
  </w:style>
  <w:style w:type="table" w:styleId="a4">
    <w:name w:val="Table Grid"/>
    <w:basedOn w:val="a1"/>
    <w:uiPriority w:val="59"/>
    <w:rsid w:val="0071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3566-9870-4B35-9762-A2E56A01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15</cp:revision>
  <dcterms:created xsi:type="dcterms:W3CDTF">2022-01-24T08:11:00Z</dcterms:created>
  <dcterms:modified xsi:type="dcterms:W3CDTF">2022-02-23T11:25:00Z</dcterms:modified>
</cp:coreProperties>
</file>