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49516" w14:textId="77777777" w:rsidR="00A42049" w:rsidRPr="00A61029" w:rsidRDefault="00A42049" w:rsidP="004F1C65">
      <w:pPr>
        <w:tabs>
          <w:tab w:val="left" w:pos="11580"/>
          <w:tab w:val="left" w:pos="12191"/>
          <w:tab w:val="right" w:pos="15138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eastAsia="uk-UA" w:bidi="uk-UA"/>
        </w:rPr>
      </w:pPr>
      <w:bookmarkStart w:id="0" w:name="bookmark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5812"/>
      </w:tblGrid>
      <w:tr w:rsidR="00A42049" w:rsidRPr="00A61029" w14:paraId="39EA6874" w14:textId="77777777" w:rsidTr="002D24A2">
        <w:tc>
          <w:tcPr>
            <w:tcW w:w="9776" w:type="dxa"/>
          </w:tcPr>
          <w:p w14:paraId="4FA849D4" w14:textId="77777777" w:rsidR="00A42049" w:rsidRPr="00A61029" w:rsidRDefault="00A42049" w:rsidP="004F1C65">
            <w:pPr>
              <w:tabs>
                <w:tab w:val="left" w:pos="11580"/>
                <w:tab w:val="left" w:pos="12191"/>
                <w:tab w:val="right" w:pos="15138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uk-UA" w:bidi="uk-UA"/>
              </w:rPr>
            </w:pPr>
          </w:p>
        </w:tc>
        <w:tc>
          <w:tcPr>
            <w:tcW w:w="5812" w:type="dxa"/>
          </w:tcPr>
          <w:p w14:paraId="062525E2" w14:textId="77777777" w:rsidR="005E5EF8" w:rsidRPr="00A61029" w:rsidRDefault="005E5EF8" w:rsidP="002D24A2">
            <w:pPr>
              <w:tabs>
                <w:tab w:val="left" w:pos="11580"/>
                <w:tab w:val="left" w:pos="12191"/>
                <w:tab w:val="right" w:pos="15138"/>
              </w:tabs>
              <w:spacing w:line="276" w:lineRule="auto"/>
              <w:ind w:left="186"/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</w:pPr>
            <w:r w:rsidRPr="00A61029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Додаток 1</w:t>
            </w:r>
          </w:p>
          <w:p w14:paraId="4B5C7F51" w14:textId="77777777" w:rsidR="002D24A2" w:rsidRDefault="005E5EF8" w:rsidP="002D24A2">
            <w:pPr>
              <w:tabs>
                <w:tab w:val="left" w:pos="11580"/>
                <w:tab w:val="left" w:pos="12191"/>
                <w:tab w:val="right" w:pos="15138"/>
              </w:tabs>
              <w:spacing w:line="276" w:lineRule="auto"/>
              <w:ind w:left="186"/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</w:pPr>
            <w:r w:rsidRPr="00A61029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до Антикорупційної програми</w:t>
            </w:r>
            <w:r w:rsidR="002D24A2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r w:rsidR="00513B41" w:rsidRPr="00A61029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Волинської </w:t>
            </w:r>
            <w:r w:rsidR="00D276E8" w:rsidRPr="00A61029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обласної державної адміністрації </w:t>
            </w:r>
          </w:p>
          <w:p w14:paraId="3D488DDF" w14:textId="2ED563A5" w:rsidR="005E5EF8" w:rsidRPr="00A61029" w:rsidRDefault="005E5EF8" w:rsidP="002D24A2">
            <w:pPr>
              <w:tabs>
                <w:tab w:val="left" w:pos="11580"/>
                <w:tab w:val="left" w:pos="12191"/>
                <w:tab w:val="right" w:pos="15138"/>
              </w:tabs>
              <w:spacing w:line="276" w:lineRule="auto"/>
              <w:ind w:left="186"/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</w:pPr>
            <w:r w:rsidRPr="00A61029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на 202</w:t>
            </w:r>
            <w:r w:rsidR="00513B41" w:rsidRPr="00A61029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4</w:t>
            </w:r>
            <w:r w:rsidR="00661A46" w:rsidRPr="00A61029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–</w:t>
            </w:r>
            <w:r w:rsidRPr="00A61029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202</w:t>
            </w:r>
            <w:r w:rsidR="00513B41" w:rsidRPr="00A61029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6</w:t>
            </w:r>
            <w:r w:rsidRPr="00A61029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 роки</w:t>
            </w:r>
          </w:p>
          <w:p w14:paraId="23777C5B" w14:textId="77777777" w:rsidR="00A42049" w:rsidRPr="00A61029" w:rsidRDefault="005E5EF8" w:rsidP="002D24A2">
            <w:pPr>
              <w:tabs>
                <w:tab w:val="left" w:pos="11580"/>
                <w:tab w:val="left" w:pos="12191"/>
                <w:tab w:val="right" w:pos="15138"/>
              </w:tabs>
              <w:spacing w:line="276" w:lineRule="auto"/>
              <w:ind w:left="186"/>
              <w:rPr>
                <w:rFonts w:ascii="Times New Roman" w:eastAsia="Calibri" w:hAnsi="Times New Roman" w:cs="Times New Roman"/>
                <w:sz w:val="26"/>
                <w:szCs w:val="26"/>
                <w:lang w:eastAsia="uk-UA" w:bidi="uk-UA"/>
              </w:rPr>
            </w:pPr>
            <w:r w:rsidRPr="00A61029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(пункт 6 розділу І )</w:t>
            </w:r>
          </w:p>
        </w:tc>
      </w:tr>
    </w:tbl>
    <w:p w14:paraId="70B60939" w14:textId="77777777" w:rsidR="00A42049" w:rsidRPr="00A61029" w:rsidRDefault="00A42049" w:rsidP="004F1C65">
      <w:pPr>
        <w:tabs>
          <w:tab w:val="left" w:pos="11580"/>
          <w:tab w:val="left" w:pos="12191"/>
          <w:tab w:val="right" w:pos="15138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eastAsia="uk-UA" w:bidi="uk-UA"/>
        </w:rPr>
      </w:pPr>
    </w:p>
    <w:bookmarkEnd w:id="0"/>
    <w:p w14:paraId="128CBCCE" w14:textId="77777777" w:rsidR="006F4ED8" w:rsidRPr="00A61029" w:rsidRDefault="006F4ED8" w:rsidP="00A42049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  <w:lang w:eastAsia="uk-UA" w:bidi="uk-UA"/>
        </w:rPr>
      </w:pPr>
    </w:p>
    <w:p w14:paraId="3C33F04C" w14:textId="19696142" w:rsidR="007D359B" w:rsidRPr="0069641E" w:rsidRDefault="007D359B" w:rsidP="004F1C6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 w:bidi="uk-UA"/>
        </w:rPr>
      </w:pPr>
      <w:bookmarkStart w:id="1" w:name="bookmark2"/>
      <w:r w:rsidRPr="0069641E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З</w:t>
      </w:r>
      <w:bookmarkEnd w:id="1"/>
      <w:r w:rsidRPr="0069641E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аходи з </w:t>
      </w:r>
      <w:bookmarkStart w:id="2" w:name="bookmark3"/>
      <w:r w:rsidRPr="0069641E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реалізації засад </w:t>
      </w:r>
      <w:r w:rsidR="00A42049" w:rsidRPr="0069641E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антикорупційної </w:t>
      </w:r>
      <w:r w:rsidRPr="0069641E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політики </w:t>
      </w:r>
      <w:bookmarkStart w:id="3" w:name="bookmark4"/>
      <w:r w:rsidR="00513B41" w:rsidRPr="0069641E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Волинської</w:t>
      </w:r>
      <w:r w:rsidR="00BF77E8" w:rsidRPr="0069641E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 обласної державної адміністрації</w:t>
      </w:r>
      <w:bookmarkEnd w:id="3"/>
    </w:p>
    <w:bookmarkEnd w:id="2"/>
    <w:p w14:paraId="2F9655B3" w14:textId="79B10E03" w:rsidR="009017C9" w:rsidRPr="0069641E" w:rsidRDefault="00BF77E8" w:rsidP="004F1C6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 w:bidi="uk-UA"/>
        </w:rPr>
      </w:pPr>
      <w:r w:rsidRPr="0069641E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та заходи з</w:t>
      </w:r>
      <w:r w:rsidRPr="006964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9641E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виконання Антикорупційної стратегії на 2021–2025 роки, </w:t>
      </w:r>
    </w:p>
    <w:p w14:paraId="35626F72" w14:textId="251320A6" w:rsidR="007D359B" w:rsidRPr="0069641E" w:rsidRDefault="00BF77E8" w:rsidP="004F1C6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 w:bidi="uk-UA"/>
        </w:rPr>
      </w:pPr>
      <w:r w:rsidRPr="0069641E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Державної антикорупційної програми на 2023–2025 роки</w:t>
      </w:r>
    </w:p>
    <w:p w14:paraId="081D1DC5" w14:textId="77777777" w:rsidR="00012261" w:rsidRPr="0069641E" w:rsidRDefault="00012261" w:rsidP="004F1C65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eastAsia="uk-UA" w:bidi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773"/>
        <w:gridCol w:w="2835"/>
        <w:gridCol w:w="3118"/>
        <w:gridCol w:w="4253"/>
      </w:tblGrid>
      <w:tr w:rsidR="00152A58" w:rsidRPr="0069641E" w14:paraId="59804F4E" w14:textId="77777777" w:rsidTr="00661A46">
        <w:trPr>
          <w:trHeight w:val="734"/>
        </w:trPr>
        <w:tc>
          <w:tcPr>
            <w:tcW w:w="609" w:type="dxa"/>
            <w:shd w:val="clear" w:color="auto" w:fill="auto"/>
          </w:tcPr>
          <w:p w14:paraId="4DE8E692" w14:textId="77777777" w:rsidR="00BF77E8" w:rsidRPr="0069641E" w:rsidRDefault="00BF77E8" w:rsidP="004F1C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9641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4773" w:type="dxa"/>
            <w:shd w:val="clear" w:color="auto" w:fill="auto"/>
          </w:tcPr>
          <w:p w14:paraId="7AE23E9C" w14:textId="77777777" w:rsidR="00BF77E8" w:rsidRPr="0069641E" w:rsidRDefault="00BF77E8" w:rsidP="004F1C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9641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Зміст заходу</w:t>
            </w:r>
          </w:p>
        </w:tc>
        <w:tc>
          <w:tcPr>
            <w:tcW w:w="2835" w:type="dxa"/>
            <w:shd w:val="clear" w:color="auto" w:fill="auto"/>
          </w:tcPr>
          <w:p w14:paraId="5488E320" w14:textId="77777777" w:rsidR="00BF77E8" w:rsidRPr="0069641E" w:rsidRDefault="00BF77E8" w:rsidP="004F1C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9641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Строки виконання</w:t>
            </w:r>
          </w:p>
          <w:p w14:paraId="227E3797" w14:textId="77777777" w:rsidR="00BF77E8" w:rsidRPr="0069641E" w:rsidRDefault="00BF77E8" w:rsidP="004F1C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118" w:type="dxa"/>
            <w:shd w:val="clear" w:color="auto" w:fill="auto"/>
          </w:tcPr>
          <w:p w14:paraId="5F276416" w14:textId="77777777" w:rsidR="00BF77E8" w:rsidRPr="0069641E" w:rsidRDefault="00BF77E8" w:rsidP="004F1C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9641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Відповідальні </w:t>
            </w:r>
          </w:p>
          <w:p w14:paraId="05377DBB" w14:textId="77777777" w:rsidR="00BF77E8" w:rsidRPr="0069641E" w:rsidRDefault="00BF77E8" w:rsidP="004F1C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9641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 виконання</w:t>
            </w:r>
          </w:p>
        </w:tc>
        <w:tc>
          <w:tcPr>
            <w:tcW w:w="4253" w:type="dxa"/>
            <w:shd w:val="clear" w:color="auto" w:fill="auto"/>
          </w:tcPr>
          <w:p w14:paraId="3CDF2B54" w14:textId="77777777" w:rsidR="00BF77E8" w:rsidRPr="0069641E" w:rsidRDefault="00BF77E8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9641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Індикатори виконання</w:t>
            </w:r>
          </w:p>
          <w:p w14:paraId="588DF86D" w14:textId="77777777" w:rsidR="00BF77E8" w:rsidRPr="0069641E" w:rsidRDefault="00BF77E8" w:rsidP="004F1C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F77E8" w:rsidRPr="0069641E" w14:paraId="07BBC256" w14:textId="77777777" w:rsidTr="00661A46">
        <w:tc>
          <w:tcPr>
            <w:tcW w:w="15588" w:type="dxa"/>
            <w:gridSpan w:val="5"/>
            <w:shd w:val="clear" w:color="auto" w:fill="auto"/>
          </w:tcPr>
          <w:p w14:paraId="2A6F37C8" w14:textId="4A984FE1" w:rsidR="00BF77E8" w:rsidRPr="0069641E" w:rsidRDefault="0069641E" w:rsidP="0069641E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1. </w:t>
            </w:r>
            <w:r w:rsidR="00BF77E8" w:rsidRPr="0069641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Забезпечення системного підходу до </w:t>
            </w:r>
            <w:r w:rsidR="003A67F8" w:rsidRPr="0069641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запобігання та протидії корупції</w:t>
            </w:r>
            <w:r w:rsidR="00A35B50" w:rsidRPr="0069641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 облдержадміністрації</w:t>
            </w:r>
          </w:p>
        </w:tc>
      </w:tr>
      <w:tr w:rsidR="00152A58" w:rsidRPr="0069641E" w14:paraId="57257427" w14:textId="77777777" w:rsidTr="00661A46">
        <w:tc>
          <w:tcPr>
            <w:tcW w:w="609" w:type="dxa"/>
            <w:shd w:val="clear" w:color="auto" w:fill="auto"/>
          </w:tcPr>
          <w:p w14:paraId="491B0614" w14:textId="77777777" w:rsidR="00BF77E8" w:rsidRPr="0069641E" w:rsidRDefault="00E342A2" w:rsidP="004F1C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4773" w:type="dxa"/>
            <w:shd w:val="clear" w:color="auto" w:fill="auto"/>
          </w:tcPr>
          <w:p w14:paraId="2CC506E2" w14:textId="77777777" w:rsidR="00BF77E8" w:rsidRPr="0069641E" w:rsidRDefault="003A67F8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Проведення моніторингу виконання А</w:t>
            </w:r>
            <w:r w:rsidR="00FD5CC5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н</w:t>
            </w:r>
            <w:r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тикорупційної програми обласної державної адміністрації </w:t>
            </w:r>
          </w:p>
        </w:tc>
        <w:tc>
          <w:tcPr>
            <w:tcW w:w="2835" w:type="dxa"/>
            <w:shd w:val="clear" w:color="auto" w:fill="auto"/>
          </w:tcPr>
          <w:p w14:paraId="1DA5C8DF" w14:textId="2C282B20" w:rsidR="00BF77E8" w:rsidRPr="0069641E" w:rsidRDefault="008C3218" w:rsidP="00B77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до 1</w:t>
            </w:r>
            <w:r w:rsidR="00513B41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3A67F8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.01.202</w:t>
            </w:r>
            <w:r w:rsidR="00513B41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5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–</w:t>
            </w:r>
            <w:r w:rsidR="003A67F8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202</w:t>
            </w:r>
            <w:r w:rsidR="00513B41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6</w:t>
            </w:r>
          </w:p>
          <w:p w14:paraId="7C17D266" w14:textId="77D294F3" w:rsidR="003A67F8" w:rsidRPr="0069641E" w:rsidRDefault="008C3218" w:rsidP="00B77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до 15</w:t>
            </w:r>
            <w:r w:rsidR="003A67F8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.07.202</w:t>
            </w:r>
            <w:r w:rsidR="00513B41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4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–</w:t>
            </w:r>
            <w:r w:rsidR="003A67F8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202</w:t>
            </w:r>
            <w:r w:rsidR="00513B41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14:paraId="38EF8685" w14:textId="49ADF354" w:rsidR="00BF77E8" w:rsidRPr="0069641E" w:rsidRDefault="00BC35AD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</w:t>
            </w:r>
            <w:r w:rsidR="00E342A2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ектор з питань запобігання та виявлення корупції </w:t>
            </w:r>
            <w:r w:rsidR="00BE2336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облдержадміністрації</w:t>
            </w:r>
            <w:r w:rsidR="00E342A2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="00FD5CC5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структурні підрозділи облдерж</w:t>
            </w:r>
            <w:r w:rsidR="00E342A2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адміністрації </w:t>
            </w:r>
          </w:p>
        </w:tc>
        <w:tc>
          <w:tcPr>
            <w:tcW w:w="4253" w:type="dxa"/>
            <w:shd w:val="clear" w:color="auto" w:fill="auto"/>
          </w:tcPr>
          <w:p w14:paraId="580872B5" w14:textId="1615DC4E" w:rsidR="00BF77E8" w:rsidRPr="0069641E" w:rsidRDefault="006E3971" w:rsidP="00745F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</w:t>
            </w:r>
            <w:r w:rsidR="00E342A2" w:rsidRPr="0069641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ідготовлено звіт про стан виконання антикорупційної програми обласної державної адміністрації</w:t>
            </w:r>
          </w:p>
        </w:tc>
      </w:tr>
      <w:tr w:rsidR="00152A58" w:rsidRPr="00A61029" w14:paraId="2E47243A" w14:textId="77777777" w:rsidTr="00661A46">
        <w:tc>
          <w:tcPr>
            <w:tcW w:w="609" w:type="dxa"/>
            <w:shd w:val="clear" w:color="auto" w:fill="auto"/>
          </w:tcPr>
          <w:p w14:paraId="52E5D34F" w14:textId="77777777" w:rsidR="00E342A2" w:rsidRPr="00A61029" w:rsidRDefault="00ED0F0D" w:rsidP="004F1C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2</w:t>
            </w:r>
            <w:r w:rsidR="00E342A2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</w:tc>
        <w:tc>
          <w:tcPr>
            <w:tcW w:w="4773" w:type="dxa"/>
            <w:shd w:val="clear" w:color="auto" w:fill="auto"/>
          </w:tcPr>
          <w:p w14:paraId="55E8610E" w14:textId="7DA20C40" w:rsidR="00E342A2" w:rsidRPr="00A61029" w:rsidRDefault="00A35B50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Запровадження систематичного </w:t>
            </w:r>
            <w:r w:rsidR="00914D41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</w:t>
            </w:r>
            <w:r w:rsidR="00E342A2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роведення </w:t>
            </w:r>
            <w:r w:rsidR="00914D41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планових </w:t>
            </w:r>
            <w:r w:rsidR="00E342A2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перевірок щодо організації роботи з питань </w:t>
            </w:r>
            <w:r w:rsidR="00E342A2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запобігання та виявлення корупції у</w:t>
            </w:r>
            <w:r w:rsidR="00720E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="00E342A2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</w:t>
            </w:r>
            <w:r w:rsidR="006668F3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труктурних підрозділах облдерж</w:t>
            </w:r>
            <w:r w:rsidR="00E342A2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адміністрації</w:t>
            </w:r>
            <w:r w:rsidR="006668F3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="00E342A2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райдержадміністраціях</w:t>
            </w:r>
          </w:p>
        </w:tc>
        <w:tc>
          <w:tcPr>
            <w:tcW w:w="2835" w:type="dxa"/>
            <w:shd w:val="clear" w:color="auto" w:fill="auto"/>
          </w:tcPr>
          <w:p w14:paraId="4EE02A61" w14:textId="77777777" w:rsidR="00E342A2" w:rsidRPr="00A61029" w:rsidRDefault="00E342A2" w:rsidP="00B77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протягом року (за окремим графіком)</w:t>
            </w:r>
          </w:p>
        </w:tc>
        <w:tc>
          <w:tcPr>
            <w:tcW w:w="3118" w:type="dxa"/>
            <w:shd w:val="clear" w:color="auto" w:fill="auto"/>
          </w:tcPr>
          <w:p w14:paraId="08C6B258" w14:textId="4A9A2AC2" w:rsidR="00E342A2" w:rsidRPr="00A61029" w:rsidRDefault="00BC35AD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</w:t>
            </w:r>
            <w:r w:rsidR="006668F3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ектор з питань запобігання та </w:t>
            </w:r>
            <w:r w:rsidR="006668F3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 xml:space="preserve">виявлення корупції </w:t>
            </w:r>
            <w:r w:rsidR="00720E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облдержадміністрації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49B48B0C" w14:textId="60FE0C03" w:rsidR="00E342A2" w:rsidRPr="00A61029" w:rsidRDefault="006E3971" w:rsidP="00745F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П</w:t>
            </w:r>
            <w:r w:rsidR="006668F3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ідготовлено </w:t>
            </w:r>
            <w:r w:rsidR="00914D41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розпорядження голови облдержадміністрації з планом перевірок та </w:t>
            </w:r>
            <w:r w:rsidR="00A35B50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 xml:space="preserve">сформованим </w:t>
            </w:r>
            <w:r w:rsidR="00914D41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переліком питань для перевірок (чек-лист)</w:t>
            </w:r>
          </w:p>
        </w:tc>
      </w:tr>
      <w:tr w:rsidR="00BF77E8" w:rsidRPr="00A61029" w14:paraId="34C9BAF6" w14:textId="77777777" w:rsidTr="00661A46">
        <w:tc>
          <w:tcPr>
            <w:tcW w:w="15588" w:type="dxa"/>
            <w:gridSpan w:val="5"/>
            <w:shd w:val="clear" w:color="auto" w:fill="auto"/>
          </w:tcPr>
          <w:p w14:paraId="7A4588E1" w14:textId="66B1D9CF" w:rsidR="00A35B50" w:rsidRPr="0069641E" w:rsidRDefault="0069641E" w:rsidP="00745FD8">
            <w:pPr>
              <w:pStyle w:val="a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uk-UA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. </w:t>
            </w:r>
            <w:r w:rsidR="00720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У</w:t>
            </w:r>
            <w:r w:rsidR="00B87999" w:rsidRPr="0069641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провадження </w:t>
            </w:r>
            <w:r w:rsidR="00FD5CC5" w:rsidRPr="0069641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та реалізація </w:t>
            </w:r>
            <w:r w:rsidR="00B87999" w:rsidRPr="0069641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механізмів прозорості, утвердження культури доброчесності</w:t>
            </w:r>
          </w:p>
          <w:p w14:paraId="58A10856" w14:textId="77777777" w:rsidR="00BF77E8" w:rsidRPr="00A61029" w:rsidRDefault="00B87999" w:rsidP="00745FD8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69641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та поваги до верховенства права</w:t>
            </w:r>
          </w:p>
        </w:tc>
      </w:tr>
      <w:tr w:rsidR="00152A58" w:rsidRPr="00A61029" w14:paraId="71EC99D8" w14:textId="77777777" w:rsidTr="00661A46">
        <w:tc>
          <w:tcPr>
            <w:tcW w:w="609" w:type="dxa"/>
            <w:shd w:val="clear" w:color="auto" w:fill="auto"/>
          </w:tcPr>
          <w:p w14:paraId="3A16428A" w14:textId="77777777" w:rsidR="00BF77E8" w:rsidRPr="00A61029" w:rsidRDefault="002D2A71" w:rsidP="00BF77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4773" w:type="dxa"/>
            <w:shd w:val="clear" w:color="auto" w:fill="auto"/>
          </w:tcPr>
          <w:p w14:paraId="03037371" w14:textId="77777777" w:rsidR="00BF77E8" w:rsidRPr="00A61029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Проведення інформаційної кампанії стосовно реалізації </w:t>
            </w:r>
            <w:r w:rsidR="00F11A78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 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облдержадміністраці</w:t>
            </w:r>
            <w:r w:rsidR="00F11A78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ї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антикорупційної політики</w:t>
            </w:r>
          </w:p>
        </w:tc>
        <w:tc>
          <w:tcPr>
            <w:tcW w:w="2835" w:type="dxa"/>
            <w:shd w:val="clear" w:color="auto" w:fill="auto"/>
          </w:tcPr>
          <w:p w14:paraId="36705838" w14:textId="436EBAE6" w:rsidR="00BF77E8" w:rsidRPr="00A61029" w:rsidRDefault="00B77DD9" w:rsidP="00B77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протягом</w:t>
            </w:r>
            <w:r w:rsidR="00BC35AD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2024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–</w:t>
            </w:r>
            <w:r w:rsidR="00BC35AD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2026 років</w:t>
            </w:r>
          </w:p>
        </w:tc>
        <w:tc>
          <w:tcPr>
            <w:tcW w:w="3118" w:type="dxa"/>
            <w:shd w:val="clear" w:color="auto" w:fill="auto"/>
          </w:tcPr>
          <w:p w14:paraId="0EF52F98" w14:textId="5863D398" w:rsidR="00BF77E8" w:rsidRPr="00A61029" w:rsidRDefault="00BC35AD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ектор з питань запобігання та виявлення корупції апарату обласної державної адміністрації</w:t>
            </w:r>
          </w:p>
        </w:tc>
        <w:tc>
          <w:tcPr>
            <w:tcW w:w="4253" w:type="dxa"/>
            <w:shd w:val="clear" w:color="auto" w:fill="auto"/>
          </w:tcPr>
          <w:p w14:paraId="10ABDCB3" w14:textId="426C3462" w:rsidR="00BF77E8" w:rsidRPr="00A61029" w:rsidRDefault="006E3971" w:rsidP="00745F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На</w:t>
            </w:r>
            <w:r w:rsidR="00D1044A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повнено розділ </w:t>
            </w:r>
            <w:r w:rsidR="00382F27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«</w:t>
            </w:r>
            <w:r w:rsidR="00D1044A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Запобігання проявам корупції</w:t>
            </w:r>
            <w:r w:rsidR="00382F27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»</w:t>
            </w:r>
            <w:r w:rsidR="00D1044A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веб</w:t>
            </w:r>
            <w:r w:rsidR="00D1044A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сайті</w:t>
            </w:r>
            <w:proofErr w:type="spellEnd"/>
            <w:r w:rsidR="00D1044A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облдержадміністрації. </w:t>
            </w:r>
          </w:p>
          <w:p w14:paraId="2C3E6D1C" w14:textId="08A60623" w:rsidR="00D1044A" w:rsidRPr="00A61029" w:rsidRDefault="00D1044A" w:rsidP="00745F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Підготовка </w:t>
            </w:r>
            <w:r w:rsidR="0022588C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інформаційних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матеріалів </w:t>
            </w:r>
            <w:r w:rsidR="0022588C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з питань 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антикорупційного </w:t>
            </w:r>
            <w:r w:rsidR="0022588C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законодавства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</w:p>
        </w:tc>
      </w:tr>
      <w:tr w:rsidR="00152A58" w:rsidRPr="00A61029" w14:paraId="65D31F68" w14:textId="77777777" w:rsidTr="00661A46">
        <w:tc>
          <w:tcPr>
            <w:tcW w:w="609" w:type="dxa"/>
            <w:shd w:val="clear" w:color="auto" w:fill="auto"/>
          </w:tcPr>
          <w:p w14:paraId="4790C591" w14:textId="69C039EF" w:rsidR="00610E0F" w:rsidRPr="00A61029" w:rsidRDefault="0052717C" w:rsidP="00610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4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</w:tc>
        <w:tc>
          <w:tcPr>
            <w:tcW w:w="4773" w:type="dxa"/>
            <w:shd w:val="clear" w:color="auto" w:fill="auto"/>
          </w:tcPr>
          <w:p w14:paraId="17F81E66" w14:textId="77777777" w:rsidR="00610E0F" w:rsidRPr="00A61029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Організація та проведення навчань антикорупційного спрямування </w:t>
            </w:r>
          </w:p>
        </w:tc>
        <w:tc>
          <w:tcPr>
            <w:tcW w:w="2835" w:type="dxa"/>
            <w:shd w:val="clear" w:color="auto" w:fill="auto"/>
          </w:tcPr>
          <w:p w14:paraId="24B2F6EA" w14:textId="77777777" w:rsidR="00610E0F" w:rsidRPr="00A61029" w:rsidRDefault="00610E0F" w:rsidP="00B77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за окремим графіком</w:t>
            </w:r>
          </w:p>
        </w:tc>
        <w:tc>
          <w:tcPr>
            <w:tcW w:w="3118" w:type="dxa"/>
            <w:shd w:val="clear" w:color="auto" w:fill="auto"/>
          </w:tcPr>
          <w:p w14:paraId="00B729E8" w14:textId="1D36BFAB" w:rsidR="00610E0F" w:rsidRPr="00A61029" w:rsidRDefault="00BC35AD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ектор з питань запобігання та виявлення корупції обл</w:t>
            </w:r>
            <w:r w:rsidR="006E397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держ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адміністрації, уповноважений підрозділ (уповноважена особа) з питань запобігання та виявлення корупції райдержадміністрацій </w:t>
            </w:r>
          </w:p>
        </w:tc>
        <w:tc>
          <w:tcPr>
            <w:tcW w:w="4253" w:type="dxa"/>
            <w:shd w:val="clear" w:color="auto" w:fill="auto"/>
          </w:tcPr>
          <w:p w14:paraId="0DCF53EB" w14:textId="77777777" w:rsidR="00610E0F" w:rsidRPr="00A61029" w:rsidRDefault="00610E0F" w:rsidP="00745F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Організовано та проведено 9 навчань антикорупційного спрямування</w:t>
            </w:r>
          </w:p>
        </w:tc>
      </w:tr>
      <w:tr w:rsidR="00152A58" w:rsidRPr="00A61029" w14:paraId="46931C9F" w14:textId="77777777" w:rsidTr="00661A46">
        <w:tc>
          <w:tcPr>
            <w:tcW w:w="609" w:type="dxa"/>
            <w:shd w:val="clear" w:color="auto" w:fill="auto"/>
          </w:tcPr>
          <w:p w14:paraId="6F68D798" w14:textId="672E23FC" w:rsidR="00610E0F" w:rsidRPr="00A61029" w:rsidRDefault="0052717C" w:rsidP="00610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5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</w:tc>
        <w:tc>
          <w:tcPr>
            <w:tcW w:w="4773" w:type="dxa"/>
            <w:shd w:val="clear" w:color="auto" w:fill="auto"/>
          </w:tcPr>
          <w:p w14:paraId="2423DFA7" w14:textId="6B156C82" w:rsidR="00610E0F" w:rsidRPr="00A61029" w:rsidRDefault="009017C9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абезпечення дотримання вимог антикорупційного законодавства працівниками облдержадміністрації, структурних підрозділів</w:t>
            </w:r>
            <w:r w:rsidR="0052717C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облдержадміністрації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, райдержадміністрацій</w:t>
            </w:r>
            <w:r w:rsidR="005D085E" w:rsidRPr="00A6102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структурних підрозділів райдержадміністрацій</w:t>
            </w:r>
          </w:p>
        </w:tc>
        <w:tc>
          <w:tcPr>
            <w:tcW w:w="2835" w:type="dxa"/>
            <w:shd w:val="clear" w:color="auto" w:fill="auto"/>
          </w:tcPr>
          <w:p w14:paraId="0F47BFD8" w14:textId="77777777" w:rsidR="00610E0F" w:rsidRPr="00A61029" w:rsidRDefault="00610E0F" w:rsidP="00B77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постійно</w:t>
            </w:r>
          </w:p>
        </w:tc>
        <w:tc>
          <w:tcPr>
            <w:tcW w:w="3118" w:type="dxa"/>
            <w:shd w:val="clear" w:color="auto" w:fill="auto"/>
          </w:tcPr>
          <w:p w14:paraId="4E978175" w14:textId="405F901E" w:rsidR="00610E0F" w:rsidRPr="00A61029" w:rsidRDefault="00BC35AD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ектор з питань запобігання та виявлення корупції облдержадміністрації, уповноважений підрозділ (уповноважена особа) з питань запобігання та виявлення корупції райдержадміністрацій, відповідальні особи з питань запобігання та виявлення корупції структурних підрозділів облдержадміністрації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254E43FE" w14:textId="619F1A9C" w:rsidR="00610E0F" w:rsidRPr="00A61029" w:rsidRDefault="009017C9" w:rsidP="00745F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Проведено планові перевірки з організації роботи </w:t>
            </w:r>
            <w:r w:rsidR="005D085E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антикорупційно</w:t>
            </w:r>
            <w:r w:rsidR="005D085E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го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напрямку у структурних підрозділах облдержадміністрації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, 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райдержадміністраціях. О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рганізовано та проведено заходи з дотриманням працівниками правил етичної поведінки під час виконання посадових обов’язків, заходів фінансового контролю, 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обмежень щодо використання службових повноважень, одержання подарунків та неправомірної вигоди, сумісництва та суміщення з іншими видами діяльності, обмеження спільної роботи близьких осіб, запобігання та врегулювання конфлікту інтересів, проведено службові розслідування (за наявності підстав)</w:t>
            </w:r>
          </w:p>
        </w:tc>
      </w:tr>
      <w:tr w:rsidR="00152A58" w:rsidRPr="00A61029" w14:paraId="00B37FDD" w14:textId="77777777" w:rsidTr="00661A46">
        <w:tc>
          <w:tcPr>
            <w:tcW w:w="609" w:type="dxa"/>
            <w:shd w:val="clear" w:color="auto" w:fill="auto"/>
          </w:tcPr>
          <w:p w14:paraId="14BDE631" w14:textId="026FACEF" w:rsidR="00610E0F" w:rsidRPr="00A61029" w:rsidRDefault="0052717C" w:rsidP="00610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6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</w:tc>
        <w:tc>
          <w:tcPr>
            <w:tcW w:w="4773" w:type="dxa"/>
            <w:shd w:val="clear" w:color="auto" w:fill="auto"/>
          </w:tcPr>
          <w:p w14:paraId="5434A4E4" w14:textId="77777777" w:rsidR="00610E0F" w:rsidRPr="00A61029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Своєчасне інформування спеціально уповноважених суб’єктів у сфері 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протидії корупції про вчинення або можливе вчинення особами, уповноваженими на виконання функцій держави або органів місцевого самоврядування, корупційних правопорушень або правопорушень, пов’язаних із корупцією</w:t>
            </w:r>
            <w:r w:rsidR="009017C9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(у разі таких випадків)</w:t>
            </w:r>
          </w:p>
        </w:tc>
        <w:tc>
          <w:tcPr>
            <w:tcW w:w="2835" w:type="dxa"/>
            <w:shd w:val="clear" w:color="auto" w:fill="auto"/>
          </w:tcPr>
          <w:p w14:paraId="02A6966C" w14:textId="1C85A001" w:rsidR="00610E0F" w:rsidRPr="00A61029" w:rsidRDefault="00B77DD9" w:rsidP="00B77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протягом</w:t>
            </w:r>
            <w:r w:rsidR="00BC35AD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2024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–</w:t>
            </w:r>
            <w:r w:rsidR="00BC35AD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2026 років</w:t>
            </w:r>
          </w:p>
        </w:tc>
        <w:tc>
          <w:tcPr>
            <w:tcW w:w="3118" w:type="dxa"/>
            <w:shd w:val="clear" w:color="auto" w:fill="auto"/>
          </w:tcPr>
          <w:p w14:paraId="4BE56DAC" w14:textId="6F7FB766" w:rsidR="00610E0F" w:rsidRPr="00A61029" w:rsidRDefault="00BC35AD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ектор з питань запобігання та 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 xml:space="preserve">виявлення корупції обласної державної адміністрації, уповноважений підрозділ (уповноважена особа) з питань запобігання та виявлення корупції райдержадміністрацій, </w:t>
            </w:r>
            <w:r w:rsidR="00610E0F" w:rsidRPr="00774C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служби управління персоналом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3BAD416B" w14:textId="69700B51" w:rsidR="00610E0F" w:rsidRPr="00A61029" w:rsidRDefault="00400DA7" w:rsidP="00745F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С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пеціально уповноважених суб’єктів у сфері протидії корупції про вчинення або 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можливе вчинення особами, уповноваженими на виконання функцій держави або органів місцевого самоврядування, корупційних правопорушень або правопорушень, пов’язаних із корупцією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поінформован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о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своєчасно</w:t>
            </w:r>
          </w:p>
        </w:tc>
      </w:tr>
      <w:tr w:rsidR="00152A58" w:rsidRPr="00A61029" w14:paraId="68A58C15" w14:textId="77777777" w:rsidTr="00661A46">
        <w:tc>
          <w:tcPr>
            <w:tcW w:w="609" w:type="dxa"/>
            <w:shd w:val="clear" w:color="auto" w:fill="auto"/>
          </w:tcPr>
          <w:p w14:paraId="013CFA89" w14:textId="4E6C511E" w:rsidR="00610E0F" w:rsidRPr="00A61029" w:rsidRDefault="00F87794" w:rsidP="00610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7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</w:tc>
        <w:tc>
          <w:tcPr>
            <w:tcW w:w="4773" w:type="dxa"/>
            <w:shd w:val="clear" w:color="auto" w:fill="auto"/>
          </w:tcPr>
          <w:p w14:paraId="1B64048F" w14:textId="77777777" w:rsidR="00610E0F" w:rsidRPr="00A61029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Проведення </w:t>
            </w:r>
            <w:r w:rsidR="009017C9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аналізу 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та вжиття заходів щодо притягнення до </w:t>
            </w:r>
            <w:r w:rsidR="009017C9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дисциплінарної 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відповідальності осіб</w:t>
            </w:r>
            <w:r w:rsidR="009017C9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за порушення антикорупційного законодавства</w:t>
            </w:r>
          </w:p>
        </w:tc>
        <w:tc>
          <w:tcPr>
            <w:tcW w:w="2835" w:type="dxa"/>
            <w:shd w:val="clear" w:color="auto" w:fill="auto"/>
          </w:tcPr>
          <w:p w14:paraId="670F960F" w14:textId="1884C492" w:rsidR="00610E0F" w:rsidRPr="00A61029" w:rsidRDefault="00B77DD9" w:rsidP="00B77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протягом</w:t>
            </w:r>
            <w:r w:rsidR="00BC35AD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2024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–</w:t>
            </w:r>
            <w:r w:rsidR="00BC35AD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2026 років</w:t>
            </w:r>
          </w:p>
        </w:tc>
        <w:tc>
          <w:tcPr>
            <w:tcW w:w="3118" w:type="dxa"/>
            <w:shd w:val="clear" w:color="auto" w:fill="auto"/>
          </w:tcPr>
          <w:p w14:paraId="5BFCA02A" w14:textId="6691C6B9" w:rsidR="00610E0F" w:rsidRPr="00A61029" w:rsidRDefault="00BC35AD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ектор з питань запобігання та виявлення корупції облдержадміністрації, </w:t>
            </w:r>
            <w:r w:rsidR="00F87794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управління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внутрішнього аудиту облдержадміністрації, уповноважений підрозділ (уповноважена особа) з питань запобігання та виявлення корупції райдержадміністрацій, 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 xml:space="preserve">відповідальні </w:t>
            </w:r>
            <w:r w:rsidR="00F87794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підрозділи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з питань внутрішнього аудиту райдержадміністрацій</w:t>
            </w:r>
          </w:p>
        </w:tc>
        <w:tc>
          <w:tcPr>
            <w:tcW w:w="4253" w:type="dxa"/>
            <w:shd w:val="clear" w:color="auto" w:fill="auto"/>
          </w:tcPr>
          <w:p w14:paraId="05996432" w14:textId="77777777" w:rsidR="00610E0F" w:rsidRPr="00A61029" w:rsidRDefault="00610E0F" w:rsidP="00745F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 xml:space="preserve">Проведено </w:t>
            </w:r>
            <w:r w:rsidR="009017C9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аналіз 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та вжит</w:t>
            </w:r>
            <w:r w:rsidR="009017C9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і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заход</w:t>
            </w:r>
            <w:r w:rsidR="009017C9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и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щодо притягнення до відповідальності осіб</w:t>
            </w:r>
            <w:r w:rsidR="009017C9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за порушення антикорупційного законодавства</w:t>
            </w:r>
          </w:p>
        </w:tc>
      </w:tr>
      <w:tr w:rsidR="00152A58" w:rsidRPr="00A61029" w14:paraId="57BEE28B" w14:textId="77777777" w:rsidTr="00661A46">
        <w:tc>
          <w:tcPr>
            <w:tcW w:w="609" w:type="dxa"/>
            <w:shd w:val="clear" w:color="auto" w:fill="auto"/>
          </w:tcPr>
          <w:p w14:paraId="31FBEB21" w14:textId="760132CD" w:rsidR="00610E0F" w:rsidRPr="00A61029" w:rsidRDefault="00152A58" w:rsidP="00610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8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</w:tc>
        <w:tc>
          <w:tcPr>
            <w:tcW w:w="4773" w:type="dxa"/>
            <w:shd w:val="clear" w:color="auto" w:fill="auto"/>
          </w:tcPr>
          <w:p w14:paraId="2878213D" w14:textId="417E932A" w:rsidR="00610E0F" w:rsidRPr="00A61029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Здійснення </w:t>
            </w:r>
            <w:r w:rsidR="00152A58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навчальних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заходів у сфері захисту викривачів, формування культури повідомлення про корупційні правопорушення, правопорушення</w:t>
            </w:r>
            <w:r w:rsidR="00CE21C5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пов’язані з корупцією, порушення Закону України «Про запобігання корупції» працівників облдержадміністрації, її структурних підрозділів, райдержадміністраці</w:t>
            </w:r>
            <w:r w:rsidR="00CE21C5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й</w:t>
            </w:r>
          </w:p>
        </w:tc>
        <w:tc>
          <w:tcPr>
            <w:tcW w:w="2835" w:type="dxa"/>
            <w:shd w:val="clear" w:color="auto" w:fill="auto"/>
          </w:tcPr>
          <w:p w14:paraId="239FE93E" w14:textId="40FDD155" w:rsidR="00610E0F" w:rsidRPr="00A61029" w:rsidRDefault="00B77DD9" w:rsidP="00B77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протягом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202</w:t>
            </w:r>
            <w:r w:rsidR="00F87794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4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–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202</w:t>
            </w:r>
            <w:r w:rsidR="00F87794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6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років</w:t>
            </w:r>
          </w:p>
        </w:tc>
        <w:tc>
          <w:tcPr>
            <w:tcW w:w="3118" w:type="dxa"/>
            <w:shd w:val="clear" w:color="auto" w:fill="auto"/>
          </w:tcPr>
          <w:p w14:paraId="48C3BF52" w14:textId="1F72EDFB" w:rsidR="00610E0F" w:rsidRPr="00A61029" w:rsidRDefault="00BC35AD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</w:t>
            </w:r>
            <w:r w:rsidR="001B246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ектор з питань запобігання та виявлення корупції облдержадміністрації, уповноважений підрозділ (уповноважена особа) з питань запобігання та виявлення корупції райдержадміністрацій</w:t>
            </w:r>
          </w:p>
        </w:tc>
        <w:tc>
          <w:tcPr>
            <w:tcW w:w="4253" w:type="dxa"/>
            <w:shd w:val="clear" w:color="auto" w:fill="auto"/>
          </w:tcPr>
          <w:p w14:paraId="188F97CA" w14:textId="77777777" w:rsidR="00610E0F" w:rsidRPr="00A61029" w:rsidRDefault="00610E0F" w:rsidP="00745F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Проведено навчання за відповідною тематикою, ознайомлено працівників про можливі канали повідомлення про порушення антикорупційного законодавства, гарантії їх захисту та права </w:t>
            </w:r>
          </w:p>
        </w:tc>
      </w:tr>
      <w:tr w:rsidR="00152A58" w:rsidRPr="00A61029" w14:paraId="66C79700" w14:textId="77777777" w:rsidTr="00661A46">
        <w:tc>
          <w:tcPr>
            <w:tcW w:w="609" w:type="dxa"/>
            <w:shd w:val="clear" w:color="auto" w:fill="auto"/>
          </w:tcPr>
          <w:p w14:paraId="5105D73F" w14:textId="57A94EDE" w:rsidR="00610E0F" w:rsidRPr="00A61029" w:rsidRDefault="00152A58" w:rsidP="00610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9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</w:tc>
        <w:tc>
          <w:tcPr>
            <w:tcW w:w="4773" w:type="dxa"/>
            <w:shd w:val="clear" w:color="auto" w:fill="auto"/>
          </w:tcPr>
          <w:p w14:paraId="681F632D" w14:textId="77777777" w:rsidR="00610E0F" w:rsidRPr="00A61029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Проведення спеціальних перевірок щодо осіб, які претендують на зайняття посад державних службовців категорії «Б»</w:t>
            </w:r>
          </w:p>
        </w:tc>
        <w:tc>
          <w:tcPr>
            <w:tcW w:w="2835" w:type="dxa"/>
            <w:shd w:val="clear" w:color="auto" w:fill="auto"/>
          </w:tcPr>
          <w:p w14:paraId="172CA6A4" w14:textId="75FFB129" w:rsidR="00610E0F" w:rsidRPr="00A61029" w:rsidRDefault="00B77DD9" w:rsidP="00B77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протягом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202</w:t>
            </w:r>
            <w:r w:rsidR="00152A58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4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–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202</w:t>
            </w:r>
            <w:r w:rsidR="00152A58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6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років</w:t>
            </w:r>
          </w:p>
        </w:tc>
        <w:tc>
          <w:tcPr>
            <w:tcW w:w="3118" w:type="dxa"/>
            <w:shd w:val="clear" w:color="auto" w:fill="auto"/>
          </w:tcPr>
          <w:p w14:paraId="2701ADA2" w14:textId="686936E5" w:rsidR="00610E0F" w:rsidRPr="00A61029" w:rsidRDefault="00B77DD9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74C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служби </w:t>
            </w:r>
            <w:r w:rsidR="00610E0F" w:rsidRPr="00774C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управління персоналом облдержадміністрації, структурн</w:t>
            </w:r>
            <w:r w:rsidRPr="00774C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их</w:t>
            </w:r>
            <w:r w:rsidR="00610E0F" w:rsidRPr="00774C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підрозділів облдержадміністрації, райдержадміністраці</w:t>
            </w:r>
            <w:r w:rsidRPr="00774C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й</w:t>
            </w:r>
          </w:p>
        </w:tc>
        <w:tc>
          <w:tcPr>
            <w:tcW w:w="4253" w:type="dxa"/>
            <w:shd w:val="clear" w:color="auto" w:fill="auto"/>
          </w:tcPr>
          <w:p w14:paraId="066EE158" w14:textId="77777777" w:rsidR="00610E0F" w:rsidRPr="00A61029" w:rsidRDefault="00610E0F" w:rsidP="00745F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Призначення на посади державних службовців категорії «Б» здійснено після проходження спеціальних перевірок </w:t>
            </w:r>
          </w:p>
        </w:tc>
      </w:tr>
      <w:tr w:rsidR="00152A58" w:rsidRPr="00A61029" w14:paraId="06B1BFEC" w14:textId="77777777" w:rsidTr="00661A46">
        <w:tc>
          <w:tcPr>
            <w:tcW w:w="609" w:type="dxa"/>
            <w:shd w:val="clear" w:color="auto" w:fill="auto"/>
          </w:tcPr>
          <w:p w14:paraId="11F8D762" w14:textId="5748F78C" w:rsidR="00610E0F" w:rsidRPr="00A61029" w:rsidRDefault="001B246F" w:rsidP="00610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1</w:t>
            </w:r>
            <w:r w:rsidR="00152A58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0</w:t>
            </w:r>
            <w:r w:rsidR="00DD11AC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4773" w:type="dxa"/>
            <w:shd w:val="clear" w:color="auto" w:fill="auto"/>
          </w:tcPr>
          <w:p w14:paraId="126B9229" w14:textId="77777777" w:rsidR="00610E0F" w:rsidRPr="00A61029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Аналіз скарг і звернень фізичних та юридичних осіб до облдержадміністрації, райдержадміністраці</w:t>
            </w:r>
            <w:r w:rsidR="005E6E78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й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 щодо 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>порушення антикорупційного законодавства України їх посадовими особами</w:t>
            </w:r>
          </w:p>
        </w:tc>
        <w:tc>
          <w:tcPr>
            <w:tcW w:w="2835" w:type="dxa"/>
            <w:shd w:val="clear" w:color="auto" w:fill="auto"/>
          </w:tcPr>
          <w:p w14:paraId="43D2F447" w14:textId="5FF8DF33" w:rsidR="00610E0F" w:rsidRPr="00A61029" w:rsidRDefault="00B77DD9" w:rsidP="00B77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протягом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 202</w:t>
            </w:r>
            <w:r w:rsidR="00152A58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4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–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202</w:t>
            </w:r>
            <w:r w:rsidR="00152A58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6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 років</w:t>
            </w:r>
          </w:p>
        </w:tc>
        <w:tc>
          <w:tcPr>
            <w:tcW w:w="3118" w:type="dxa"/>
            <w:shd w:val="clear" w:color="auto" w:fill="auto"/>
          </w:tcPr>
          <w:p w14:paraId="0EF22947" w14:textId="2D9F07E3" w:rsidR="00610E0F" w:rsidRPr="00A61029" w:rsidRDefault="00BC35AD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с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ектор з питань запобігання та виявлення корупції облдержадміністрації, 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>уповноважений підрозділ (уповноважена особа) з питань запобігання та виявлення корупції райдержадміністрацій</w:t>
            </w:r>
          </w:p>
        </w:tc>
        <w:tc>
          <w:tcPr>
            <w:tcW w:w="4253" w:type="dxa"/>
            <w:shd w:val="clear" w:color="auto" w:fill="auto"/>
          </w:tcPr>
          <w:p w14:paraId="7B264854" w14:textId="77777777" w:rsidR="00610E0F" w:rsidRPr="00A61029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>Своєчасн</w:t>
            </w:r>
            <w:r w:rsidR="008F7A5A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о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 проаналізовано, надано відповідь на</w:t>
            </w:r>
            <w:r w:rsidR="008F7A5A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 усі скарги і звернення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 фізичних та юридичних осіб до 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>облдержадміністрації, райдержадміністраці</w:t>
            </w:r>
            <w:r w:rsidR="008F7A5A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й 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щодо порушення антикорупційного законодавства України їх посадовими особами, у разі потреби скеровано до спеціально уповноважених суб’єктів у сфері протидії корупції</w:t>
            </w:r>
          </w:p>
        </w:tc>
      </w:tr>
      <w:tr w:rsidR="00610E0F" w:rsidRPr="00A61029" w14:paraId="18E2A177" w14:textId="77777777" w:rsidTr="00661A46">
        <w:tc>
          <w:tcPr>
            <w:tcW w:w="15588" w:type="dxa"/>
            <w:gridSpan w:val="5"/>
            <w:shd w:val="clear" w:color="auto" w:fill="auto"/>
          </w:tcPr>
          <w:p w14:paraId="51A5F4BC" w14:textId="0C330DFB" w:rsidR="0069641E" w:rsidRDefault="0069641E" w:rsidP="00745FD8">
            <w:pPr>
              <w:pStyle w:val="a8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9641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lastRenderedPageBreak/>
              <w:t>3. </w:t>
            </w:r>
            <w:r w:rsidR="00610E0F" w:rsidRPr="0069641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 xml:space="preserve">Заходи з </w:t>
            </w:r>
            <w:r w:rsidR="00610E0F" w:rsidRPr="0069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виконання Антикорупційної стратегії на 2021–2025 роки</w:t>
            </w:r>
          </w:p>
          <w:p w14:paraId="6C1C6885" w14:textId="671287AC" w:rsidR="00610E0F" w:rsidRPr="0069641E" w:rsidRDefault="00610E0F" w:rsidP="00745FD8">
            <w:pPr>
              <w:pStyle w:val="a8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</w:pPr>
            <w:r w:rsidRPr="0069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та Державної антикорупційної програми на 2023–2025 роки (ДАП)</w:t>
            </w:r>
          </w:p>
        </w:tc>
      </w:tr>
      <w:tr w:rsidR="00152A58" w:rsidRPr="00A61029" w14:paraId="2364C42F" w14:textId="77777777" w:rsidTr="00661A46">
        <w:tc>
          <w:tcPr>
            <w:tcW w:w="609" w:type="dxa"/>
            <w:shd w:val="clear" w:color="auto" w:fill="auto"/>
          </w:tcPr>
          <w:p w14:paraId="723F9BEF" w14:textId="2D9F7FE8" w:rsidR="00610E0F" w:rsidRPr="00A61029" w:rsidRDefault="001B246F" w:rsidP="00610E0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A61029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1</w:t>
            </w:r>
            <w:r w:rsidR="00152A58" w:rsidRPr="00A61029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1</w:t>
            </w:r>
            <w:r w:rsidR="00DD11AC" w:rsidRPr="00A61029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4773" w:type="dxa"/>
            <w:shd w:val="clear" w:color="auto" w:fill="auto"/>
          </w:tcPr>
          <w:p w14:paraId="050782D6" w14:textId="77777777" w:rsidR="00745FD8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Проведення державної </w:t>
            </w:r>
          </w:p>
          <w:p w14:paraId="0D4E0A60" w14:textId="3A26FEBE" w:rsidR="00610E0F" w:rsidRPr="00A61029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інвентаризації земель </w:t>
            </w:r>
          </w:p>
        </w:tc>
        <w:tc>
          <w:tcPr>
            <w:tcW w:w="2835" w:type="dxa"/>
            <w:shd w:val="clear" w:color="auto" w:fill="auto"/>
          </w:tcPr>
          <w:p w14:paraId="05F0C3BE" w14:textId="10451FD5" w:rsidR="00610E0F" w:rsidRPr="00A61029" w:rsidRDefault="00B77DD9" w:rsidP="00B77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протягом </w:t>
            </w:r>
            <w:r w:rsidR="00BC35AD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2024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–</w:t>
            </w:r>
            <w:r w:rsidR="00BC35AD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2025 років</w:t>
            </w:r>
          </w:p>
        </w:tc>
        <w:tc>
          <w:tcPr>
            <w:tcW w:w="3118" w:type="dxa"/>
            <w:shd w:val="clear" w:color="auto" w:fill="auto"/>
          </w:tcPr>
          <w:p w14:paraId="009212B7" w14:textId="37146765" w:rsidR="00610E0F" w:rsidRPr="00A61029" w:rsidRDefault="00BC35AD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у</w:t>
            </w:r>
            <w:r w:rsidR="00152A58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правління 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містобудування </w:t>
            </w:r>
            <w:r w:rsidR="00152A58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та архітектури 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облдержадміністрації </w:t>
            </w:r>
          </w:p>
        </w:tc>
        <w:tc>
          <w:tcPr>
            <w:tcW w:w="4253" w:type="dxa"/>
            <w:shd w:val="clear" w:color="auto" w:fill="auto"/>
          </w:tcPr>
          <w:p w14:paraId="7EE49CEA" w14:textId="77777777" w:rsidR="00610E0F" w:rsidRPr="00A61029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Проведено державну інвентаризацію земель (у </w:t>
            </w:r>
            <w:r w:rsidR="00A84142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разі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 наявності бюджетних призначень на відповідний рік)</w:t>
            </w:r>
          </w:p>
        </w:tc>
      </w:tr>
      <w:tr w:rsidR="00152A58" w:rsidRPr="00A61029" w14:paraId="1381707A" w14:textId="77777777" w:rsidTr="00661A46">
        <w:tc>
          <w:tcPr>
            <w:tcW w:w="609" w:type="dxa"/>
            <w:shd w:val="clear" w:color="auto" w:fill="auto"/>
          </w:tcPr>
          <w:p w14:paraId="6BC6F1CC" w14:textId="5C578767" w:rsidR="00610E0F" w:rsidRPr="00A61029" w:rsidRDefault="00152A58" w:rsidP="00610E0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A61029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1</w:t>
            </w:r>
            <w:r w:rsidR="001B246F" w:rsidRPr="00A61029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2</w:t>
            </w:r>
            <w:r w:rsidR="00DD11AC" w:rsidRPr="00A61029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4773" w:type="dxa"/>
            <w:shd w:val="clear" w:color="auto" w:fill="auto"/>
          </w:tcPr>
          <w:p w14:paraId="4A371E30" w14:textId="341A25E6" w:rsidR="00610E0F" w:rsidRPr="00A61029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Забезпечення оприлюднення відкритих даних, зокрема інформації щодо дорожн</w:t>
            </w:r>
            <w:r w:rsidR="00C529B4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і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х інфраструктурних про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є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ктів на Єдиному державному </w:t>
            </w:r>
            <w:proofErr w:type="spellStart"/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вебпорталі</w:t>
            </w:r>
            <w:proofErr w:type="spellEnd"/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відкритих даних відповідно до переліку наборів даних за стандартом </w:t>
            </w:r>
            <w:proofErr w:type="spellStart"/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CoST</w:t>
            </w:r>
            <w:proofErr w:type="spellEnd"/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IDS (</w:t>
            </w:r>
            <w:proofErr w:type="spellStart"/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Infrastructure</w:t>
            </w:r>
            <w:proofErr w:type="spellEnd"/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Data</w:t>
            </w:r>
            <w:proofErr w:type="spellEnd"/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Standard), публікації даних (зокрема проектної документації та методики розрахунку очікуваної 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 xml:space="preserve">вартості закупівлі) у </w:t>
            </w:r>
            <w:proofErr w:type="spellStart"/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машинозчитуваному</w:t>
            </w:r>
            <w:proofErr w:type="spellEnd"/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форматі згідно із стандартами OC4IDS і OCDS (п. 2.5.10.1.3 додатку 2 до ДАП)</w:t>
            </w:r>
          </w:p>
        </w:tc>
        <w:tc>
          <w:tcPr>
            <w:tcW w:w="2835" w:type="dxa"/>
            <w:shd w:val="clear" w:color="auto" w:fill="auto"/>
          </w:tcPr>
          <w:p w14:paraId="3F8DF3AD" w14:textId="1877B609" w:rsidR="00610E0F" w:rsidRPr="00A61029" w:rsidRDefault="00B77DD9" w:rsidP="00B77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lastRenderedPageBreak/>
              <w:t>протягом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202</w:t>
            </w:r>
            <w:r w:rsidR="00152A58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4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–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2025 років</w:t>
            </w:r>
          </w:p>
        </w:tc>
        <w:tc>
          <w:tcPr>
            <w:tcW w:w="3118" w:type="dxa"/>
            <w:shd w:val="clear" w:color="auto" w:fill="auto"/>
          </w:tcPr>
          <w:p w14:paraId="43C9FE54" w14:textId="44421863" w:rsidR="00610E0F" w:rsidRPr="00A61029" w:rsidRDefault="00BC35AD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д</w:t>
            </w:r>
            <w:r w:rsidR="00AA07DB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епартамент</w:t>
            </w:r>
            <w:r w:rsidR="00DD11AC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152A58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інфраструктури </w:t>
            </w:r>
            <w:r w:rsidR="00610E0F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облдержадміністрації </w:t>
            </w:r>
          </w:p>
        </w:tc>
        <w:tc>
          <w:tcPr>
            <w:tcW w:w="4253" w:type="dxa"/>
            <w:shd w:val="clear" w:color="auto" w:fill="auto"/>
          </w:tcPr>
          <w:p w14:paraId="372EA51F" w14:textId="51195AA6" w:rsidR="00610E0F" w:rsidRPr="00A61029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Оприлюднено відповідні відкриті дані, зокрема інформацію щодо дорожн</w:t>
            </w:r>
            <w:r w:rsidR="00C529B4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і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х інфраструктурних про</w:t>
            </w:r>
            <w:r w:rsidR="00BC3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є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ктів на Єдиному державному </w:t>
            </w:r>
            <w:proofErr w:type="spellStart"/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вебпорталі</w:t>
            </w:r>
            <w:proofErr w:type="spellEnd"/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 відкритих даних </w:t>
            </w:r>
            <w:r w:rsidR="00A84142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(у разі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 прийняття Державним агентством відновлення та розвитку інфраструктури України відповідного розпорядчого документу та </w:t>
            </w: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>наявності бюджетних призначень на відповідний рік)</w:t>
            </w:r>
          </w:p>
        </w:tc>
      </w:tr>
      <w:tr w:rsidR="00610E0F" w:rsidRPr="00A61029" w14:paraId="02FED4BF" w14:textId="77777777" w:rsidTr="00661A46">
        <w:tc>
          <w:tcPr>
            <w:tcW w:w="15588" w:type="dxa"/>
            <w:gridSpan w:val="5"/>
            <w:shd w:val="clear" w:color="auto" w:fill="auto"/>
          </w:tcPr>
          <w:p w14:paraId="67C4C678" w14:textId="1165A3CF" w:rsidR="00610E0F" w:rsidRPr="0069641E" w:rsidRDefault="0069641E" w:rsidP="00745FD8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</w:pPr>
            <w:r w:rsidRPr="0069641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lastRenderedPageBreak/>
              <w:t>4.</w:t>
            </w:r>
            <w:r w:rsidRPr="0069641E">
              <w:rPr>
                <w:bCs/>
              </w:rPr>
              <w:t> </w:t>
            </w:r>
            <w:r w:rsidR="00610E0F" w:rsidRPr="0069641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Підвищення ефективності системи управління корупційними ризиками та зменшення впливу корупційних ризиків на діяльність облдержадміністрації</w:t>
            </w:r>
            <w:r w:rsidR="009017C9" w:rsidRPr="0069641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, її структурних підрозділів</w:t>
            </w:r>
          </w:p>
        </w:tc>
      </w:tr>
      <w:tr w:rsidR="00152A58" w:rsidRPr="00A61029" w14:paraId="7CA2EE47" w14:textId="77777777" w:rsidTr="00661A46">
        <w:tc>
          <w:tcPr>
            <w:tcW w:w="609" w:type="dxa"/>
            <w:shd w:val="clear" w:color="auto" w:fill="auto"/>
          </w:tcPr>
          <w:p w14:paraId="05344D20" w14:textId="3A00D5DA" w:rsidR="00610E0F" w:rsidRPr="00A61029" w:rsidRDefault="001B246F" w:rsidP="00610E0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1</w:t>
            </w:r>
            <w:r w:rsidR="000B59ED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3</w:t>
            </w:r>
            <w:r w:rsidR="00DD11AC" w:rsidRPr="00A6102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</w:tc>
        <w:tc>
          <w:tcPr>
            <w:tcW w:w="4773" w:type="dxa"/>
            <w:shd w:val="clear" w:color="auto" w:fill="auto"/>
          </w:tcPr>
          <w:p w14:paraId="427F7EC6" w14:textId="6A2F6434" w:rsidR="00610E0F" w:rsidRPr="0069641E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</w:pPr>
            <w:r w:rsidRPr="0069641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Здійснення контролю стану управління корупційними ризиками в облдержадміністрації та її структурних підрозділах</w:t>
            </w:r>
          </w:p>
        </w:tc>
        <w:tc>
          <w:tcPr>
            <w:tcW w:w="2835" w:type="dxa"/>
            <w:shd w:val="clear" w:color="auto" w:fill="auto"/>
          </w:tcPr>
          <w:p w14:paraId="302F3A9A" w14:textId="325EAA64" w:rsidR="00610E0F" w:rsidRPr="0069641E" w:rsidRDefault="00BC35AD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щ</w:t>
            </w:r>
            <w:r w:rsidR="00610E0F" w:rsidRPr="0069641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опівроку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1EE7F7D8" w14:textId="5C78D367" w:rsidR="00610E0F" w:rsidRPr="0069641E" w:rsidRDefault="00BC35AD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с</w:t>
            </w:r>
            <w:r w:rsidR="00610E0F" w:rsidRPr="0069641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ектор з питань запобігання та виявлення корупції облдержадміністрації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441BE166" w14:textId="77777777" w:rsidR="00610E0F" w:rsidRPr="0069641E" w:rsidRDefault="00610E0F" w:rsidP="00745F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</w:pPr>
            <w:r w:rsidRPr="0069641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Відображено у реєстрі ризиків результати моніторингу виконання заходів впливу на корупційні ризики. Підготовлено звіт за результатами моніторингу вик</w:t>
            </w:r>
            <w:r w:rsidR="001963DD" w:rsidRPr="0069641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онання антикорупційної програми</w:t>
            </w:r>
          </w:p>
        </w:tc>
      </w:tr>
    </w:tbl>
    <w:p w14:paraId="52726D3E" w14:textId="77777777" w:rsidR="003B44FD" w:rsidRPr="00A61029" w:rsidRDefault="003B44FD" w:rsidP="004F1C65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0AD5BBF1" w14:textId="77777777" w:rsidR="006F4ED8" w:rsidRPr="00A61029" w:rsidRDefault="001963DD" w:rsidP="00DD11AC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1029">
        <w:rPr>
          <w:rFonts w:ascii="Times New Roman" w:hAnsi="Times New Roman"/>
          <w:sz w:val="26"/>
          <w:szCs w:val="26"/>
        </w:rPr>
        <w:t>______________________________________</w:t>
      </w:r>
      <w:r w:rsidR="00DD11AC" w:rsidRPr="00A61029">
        <w:rPr>
          <w:rFonts w:ascii="Times New Roman" w:hAnsi="Times New Roman"/>
          <w:sz w:val="26"/>
          <w:szCs w:val="26"/>
        </w:rPr>
        <w:t>_________________________________</w:t>
      </w:r>
    </w:p>
    <w:sectPr w:rsidR="006F4ED8" w:rsidRPr="00A61029" w:rsidSect="00181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D3490" w14:textId="77777777" w:rsidR="0018191C" w:rsidRDefault="0018191C" w:rsidP="00A76033">
      <w:pPr>
        <w:spacing w:after="0" w:line="240" w:lineRule="auto"/>
      </w:pPr>
      <w:r>
        <w:separator/>
      </w:r>
    </w:p>
  </w:endnote>
  <w:endnote w:type="continuationSeparator" w:id="0">
    <w:p w14:paraId="5434DF9C" w14:textId="77777777" w:rsidR="0018191C" w:rsidRDefault="0018191C" w:rsidP="00A7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00205" w14:textId="77777777" w:rsidR="00FF559F" w:rsidRDefault="00FF55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80058" w14:textId="77777777" w:rsidR="00FF559F" w:rsidRDefault="00FF55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313D6" w14:textId="77777777" w:rsidR="00FF559F" w:rsidRDefault="00FF55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B9745" w14:textId="77777777" w:rsidR="0018191C" w:rsidRDefault="0018191C" w:rsidP="00A76033">
      <w:pPr>
        <w:spacing w:after="0" w:line="240" w:lineRule="auto"/>
      </w:pPr>
      <w:r>
        <w:separator/>
      </w:r>
    </w:p>
  </w:footnote>
  <w:footnote w:type="continuationSeparator" w:id="0">
    <w:p w14:paraId="37B0DFBF" w14:textId="77777777" w:rsidR="0018191C" w:rsidRDefault="0018191C" w:rsidP="00A76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9D60E" w14:textId="77777777" w:rsidR="00FF559F" w:rsidRDefault="00FF55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26061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D0E224E" w14:textId="77777777" w:rsidR="00661A46" w:rsidRPr="00661A46" w:rsidRDefault="00661A4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1A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1A4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1A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61A46">
          <w:rPr>
            <w:rFonts w:ascii="Times New Roman" w:hAnsi="Times New Roman" w:cs="Times New Roman"/>
            <w:sz w:val="28"/>
            <w:szCs w:val="28"/>
          </w:rPr>
          <w:t>2</w:t>
        </w:r>
        <w:r w:rsidRPr="00661A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38D4C322" w14:textId="330EC1AC" w:rsidR="00661A46" w:rsidRPr="00661A46" w:rsidRDefault="00661A46" w:rsidP="00661A46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61A46">
          <w:rPr>
            <w:rFonts w:ascii="Times New Roman" w:hAnsi="Times New Roman" w:cs="Times New Roman"/>
            <w:sz w:val="28"/>
            <w:szCs w:val="28"/>
          </w:rPr>
          <w:t>Продовження додатка 1</w:t>
        </w:r>
      </w:p>
    </w:sdtContent>
  </w:sdt>
  <w:p w14:paraId="64654BEE" w14:textId="77777777" w:rsidR="00A76033" w:rsidRPr="00661A46" w:rsidRDefault="00A76033" w:rsidP="00A76033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B941D" w14:textId="77777777" w:rsidR="00666E84" w:rsidRDefault="00666E84">
    <w:pPr>
      <w:pStyle w:val="a3"/>
      <w:jc w:val="center"/>
    </w:pPr>
  </w:p>
  <w:p w14:paraId="1BFDE4D8" w14:textId="77777777" w:rsidR="006F4ED8" w:rsidRDefault="006F4E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83599"/>
    <w:multiLevelType w:val="hybridMultilevel"/>
    <w:tmpl w:val="DC425096"/>
    <w:lvl w:ilvl="0" w:tplc="E3605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1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7B"/>
    <w:rsid w:val="00005717"/>
    <w:rsid w:val="00012261"/>
    <w:rsid w:val="0002222E"/>
    <w:rsid w:val="00067CDF"/>
    <w:rsid w:val="00077E84"/>
    <w:rsid w:val="00083D5F"/>
    <w:rsid w:val="00087E48"/>
    <w:rsid w:val="00091ADF"/>
    <w:rsid w:val="00093F75"/>
    <w:rsid w:val="000B4182"/>
    <w:rsid w:val="000B59ED"/>
    <w:rsid w:val="000C7CEE"/>
    <w:rsid w:val="000D12B5"/>
    <w:rsid w:val="000F3A14"/>
    <w:rsid w:val="00110CD7"/>
    <w:rsid w:val="00122569"/>
    <w:rsid w:val="001328A8"/>
    <w:rsid w:val="00152A58"/>
    <w:rsid w:val="001531BD"/>
    <w:rsid w:val="00156707"/>
    <w:rsid w:val="0018191C"/>
    <w:rsid w:val="001963DD"/>
    <w:rsid w:val="001A197E"/>
    <w:rsid w:val="001B0490"/>
    <w:rsid w:val="001B246F"/>
    <w:rsid w:val="001D2F8C"/>
    <w:rsid w:val="001D547C"/>
    <w:rsid w:val="001F69F9"/>
    <w:rsid w:val="0020142B"/>
    <w:rsid w:val="002219E6"/>
    <w:rsid w:val="0022588C"/>
    <w:rsid w:val="002603ED"/>
    <w:rsid w:val="00267ECE"/>
    <w:rsid w:val="00274695"/>
    <w:rsid w:val="002A2220"/>
    <w:rsid w:val="002B2FCB"/>
    <w:rsid w:val="002D24A2"/>
    <w:rsid w:val="002D2A71"/>
    <w:rsid w:val="002E4F2E"/>
    <w:rsid w:val="003524EF"/>
    <w:rsid w:val="0038232E"/>
    <w:rsid w:val="00382F27"/>
    <w:rsid w:val="003A1B49"/>
    <w:rsid w:val="003A67F8"/>
    <w:rsid w:val="003B44FD"/>
    <w:rsid w:val="003C01E9"/>
    <w:rsid w:val="003E68BA"/>
    <w:rsid w:val="00400DA7"/>
    <w:rsid w:val="00403BFC"/>
    <w:rsid w:val="00422B9B"/>
    <w:rsid w:val="0043594B"/>
    <w:rsid w:val="00437DD4"/>
    <w:rsid w:val="00463649"/>
    <w:rsid w:val="0046491B"/>
    <w:rsid w:val="00485295"/>
    <w:rsid w:val="004D36BF"/>
    <w:rsid w:val="004D43D9"/>
    <w:rsid w:val="004F1C65"/>
    <w:rsid w:val="00503C98"/>
    <w:rsid w:val="00513B41"/>
    <w:rsid w:val="005201FF"/>
    <w:rsid w:val="00524107"/>
    <w:rsid w:val="00524893"/>
    <w:rsid w:val="0052717C"/>
    <w:rsid w:val="00541488"/>
    <w:rsid w:val="005575C1"/>
    <w:rsid w:val="005969E7"/>
    <w:rsid w:val="005D085E"/>
    <w:rsid w:val="005E5EF8"/>
    <w:rsid w:val="005E6E78"/>
    <w:rsid w:val="00610E0F"/>
    <w:rsid w:val="00611BFE"/>
    <w:rsid w:val="006212FC"/>
    <w:rsid w:val="00621BCB"/>
    <w:rsid w:val="006331E4"/>
    <w:rsid w:val="00661A46"/>
    <w:rsid w:val="006668F3"/>
    <w:rsid w:val="00666E84"/>
    <w:rsid w:val="00685BD2"/>
    <w:rsid w:val="0069641E"/>
    <w:rsid w:val="006B0572"/>
    <w:rsid w:val="006B2D5D"/>
    <w:rsid w:val="006B70DF"/>
    <w:rsid w:val="006E3971"/>
    <w:rsid w:val="006F4ED8"/>
    <w:rsid w:val="00707EDA"/>
    <w:rsid w:val="00716DE5"/>
    <w:rsid w:val="00720A5F"/>
    <w:rsid w:val="00720EB7"/>
    <w:rsid w:val="0074501B"/>
    <w:rsid w:val="00745FD8"/>
    <w:rsid w:val="007665C1"/>
    <w:rsid w:val="00774CBE"/>
    <w:rsid w:val="007D359B"/>
    <w:rsid w:val="007D40B7"/>
    <w:rsid w:val="007E2B2C"/>
    <w:rsid w:val="007F102B"/>
    <w:rsid w:val="008003FC"/>
    <w:rsid w:val="00805F90"/>
    <w:rsid w:val="00824F13"/>
    <w:rsid w:val="00845687"/>
    <w:rsid w:val="00880933"/>
    <w:rsid w:val="00882B81"/>
    <w:rsid w:val="008C3218"/>
    <w:rsid w:val="008F032B"/>
    <w:rsid w:val="008F6FAD"/>
    <w:rsid w:val="008F7A5A"/>
    <w:rsid w:val="009017C9"/>
    <w:rsid w:val="009055B1"/>
    <w:rsid w:val="00914D41"/>
    <w:rsid w:val="00933E64"/>
    <w:rsid w:val="00942399"/>
    <w:rsid w:val="0094600E"/>
    <w:rsid w:val="009541CD"/>
    <w:rsid w:val="00970E4D"/>
    <w:rsid w:val="00973DC0"/>
    <w:rsid w:val="009B75CC"/>
    <w:rsid w:val="009F2A02"/>
    <w:rsid w:val="009F449C"/>
    <w:rsid w:val="00A35B50"/>
    <w:rsid w:val="00A42049"/>
    <w:rsid w:val="00A426A2"/>
    <w:rsid w:val="00A5066A"/>
    <w:rsid w:val="00A5276F"/>
    <w:rsid w:val="00A61029"/>
    <w:rsid w:val="00A66B12"/>
    <w:rsid w:val="00A76033"/>
    <w:rsid w:val="00A84142"/>
    <w:rsid w:val="00AA07DB"/>
    <w:rsid w:val="00B065B5"/>
    <w:rsid w:val="00B230C9"/>
    <w:rsid w:val="00B44321"/>
    <w:rsid w:val="00B77DD9"/>
    <w:rsid w:val="00B84C00"/>
    <w:rsid w:val="00B87999"/>
    <w:rsid w:val="00BB04C0"/>
    <w:rsid w:val="00BC35AD"/>
    <w:rsid w:val="00BE2336"/>
    <w:rsid w:val="00BF2BD4"/>
    <w:rsid w:val="00BF77E8"/>
    <w:rsid w:val="00C148CF"/>
    <w:rsid w:val="00C35ED9"/>
    <w:rsid w:val="00C529B4"/>
    <w:rsid w:val="00C6343C"/>
    <w:rsid w:val="00C714C0"/>
    <w:rsid w:val="00CA1E36"/>
    <w:rsid w:val="00CB19A7"/>
    <w:rsid w:val="00CE1760"/>
    <w:rsid w:val="00CE21C5"/>
    <w:rsid w:val="00CE770F"/>
    <w:rsid w:val="00CF767B"/>
    <w:rsid w:val="00D034E5"/>
    <w:rsid w:val="00D1044A"/>
    <w:rsid w:val="00D1190F"/>
    <w:rsid w:val="00D276E8"/>
    <w:rsid w:val="00D27B65"/>
    <w:rsid w:val="00D65B33"/>
    <w:rsid w:val="00D848BD"/>
    <w:rsid w:val="00DD0CE9"/>
    <w:rsid w:val="00DD11AC"/>
    <w:rsid w:val="00DF6557"/>
    <w:rsid w:val="00E032C7"/>
    <w:rsid w:val="00E03991"/>
    <w:rsid w:val="00E15DEE"/>
    <w:rsid w:val="00E342A2"/>
    <w:rsid w:val="00E358A7"/>
    <w:rsid w:val="00E77933"/>
    <w:rsid w:val="00ED0F0D"/>
    <w:rsid w:val="00ED223C"/>
    <w:rsid w:val="00EF61B3"/>
    <w:rsid w:val="00F11A78"/>
    <w:rsid w:val="00F5397B"/>
    <w:rsid w:val="00F62DB5"/>
    <w:rsid w:val="00F85D16"/>
    <w:rsid w:val="00F87794"/>
    <w:rsid w:val="00FD2BA8"/>
    <w:rsid w:val="00FD4E59"/>
    <w:rsid w:val="00FD4FC7"/>
    <w:rsid w:val="00FD5CC5"/>
    <w:rsid w:val="00FE3C02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2C3AE"/>
  <w15:chartTrackingRefBased/>
  <w15:docId w15:val="{FC795859-F21E-49FD-84D7-CFAB3EEF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76033"/>
  </w:style>
  <w:style w:type="paragraph" w:styleId="a5">
    <w:name w:val="footer"/>
    <w:basedOn w:val="a"/>
    <w:link w:val="a6"/>
    <w:uiPriority w:val="99"/>
    <w:unhideWhenUsed/>
    <w:rsid w:val="00A760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76033"/>
  </w:style>
  <w:style w:type="table" w:styleId="a7">
    <w:name w:val="Table Grid"/>
    <w:basedOn w:val="a1"/>
    <w:uiPriority w:val="39"/>
    <w:rsid w:val="00A4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77E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1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14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B2E5-4B8F-4AEF-A74C-EF2FB749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5265</Words>
  <Characters>3002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</vt:lpstr>
      <vt:lpstr>Продовження додатка</vt:lpstr>
    </vt:vector>
  </TitlesOfParts>
  <Company>SPecialiST RePack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subject/>
  <dc:creator>ANDRE</dc:creator>
  <cp:keywords/>
  <dc:description/>
  <cp:lastModifiedBy>Пользователь Windows</cp:lastModifiedBy>
  <cp:revision>7</cp:revision>
  <cp:lastPrinted>2023-04-17T11:45:00Z</cp:lastPrinted>
  <dcterms:created xsi:type="dcterms:W3CDTF">2024-05-08T11:10:00Z</dcterms:created>
  <dcterms:modified xsi:type="dcterms:W3CDTF">2024-05-09T05:48:00Z</dcterms:modified>
</cp:coreProperties>
</file>